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4603CE" w:rsidRDefault="004603CE" w:rsidP="004603C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Сурковского сельсовета</w:t>
      </w:r>
    </w:p>
    <w:p w:rsid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4603CE" w:rsidRDefault="004603CE" w:rsidP="00460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Тридцать третьей   сессии пятого созыва</w:t>
      </w:r>
    </w:p>
    <w:p w:rsid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03CE" w:rsidRDefault="004603CE" w:rsidP="004603CE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FE7">
        <w:rPr>
          <w:rFonts w:ascii="Times New Roman" w:eastAsia="Times New Roman" w:hAnsi="Times New Roman" w:cs="Times New Roman"/>
          <w:sz w:val="28"/>
          <w:szCs w:val="28"/>
        </w:rPr>
        <w:t>30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430C0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1</w:t>
      </w:r>
      <w:r w:rsidR="00E410BD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03CE" w:rsidRDefault="004603CE" w:rsidP="00460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Сурково</w:t>
      </w:r>
      <w:proofErr w:type="spellEnd"/>
    </w:p>
    <w:p w:rsidR="004603CE" w:rsidRDefault="004603CE" w:rsidP="0046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0BD" w:rsidRPr="00E410BD" w:rsidRDefault="00583C6A" w:rsidP="00E410B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E410BD"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Заслушав отчёт  </w:t>
      </w:r>
      <w:r w:rsidR="00E410BD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E410BD"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лавы Сурковского сельсовета  за  период  2018 год , Совет депутатов Сурковского сельсовета  </w:t>
      </w:r>
      <w:proofErr w:type="spellStart"/>
      <w:r w:rsidR="00E410BD"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>Тогучинского</w:t>
      </w:r>
      <w:proofErr w:type="spellEnd"/>
      <w:r w:rsidR="00E410BD"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 w:rsidR="00E410BD"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овосибирской области </w:t>
      </w:r>
    </w:p>
    <w:p w:rsidR="00E410BD" w:rsidRPr="00E410BD" w:rsidRDefault="00E410BD" w:rsidP="00E410B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E410BD" w:rsidRPr="00E410BD" w:rsidRDefault="00E410BD" w:rsidP="00D927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>Принять отчёт Главы Сурковского сельсовета о результатах деятельности за истекший год с оцен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>ой «удовлетворительно».</w:t>
      </w:r>
    </w:p>
    <w:p w:rsidR="00E410BD" w:rsidRPr="00E410BD" w:rsidRDefault="00E410BD" w:rsidP="00E410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данное решение в периодическом печатном издании органа местного самоуправления «</w:t>
      </w:r>
      <w:proofErr w:type="spellStart"/>
      <w:r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>Сурковский</w:t>
      </w:r>
      <w:proofErr w:type="spellEnd"/>
      <w:r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Вестник» и официальном сайте в сети «Интернет».</w:t>
      </w:r>
    </w:p>
    <w:p w:rsidR="00E410BD" w:rsidRPr="00E410BD" w:rsidRDefault="00E410BD" w:rsidP="00E410BD">
      <w:pPr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10BD" w:rsidRPr="00E410BD" w:rsidRDefault="00E410BD" w:rsidP="00E410B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>Глава Сурковского сельсовета</w:t>
      </w:r>
    </w:p>
    <w:p w:rsidR="00E410BD" w:rsidRPr="00E410BD" w:rsidRDefault="00E410BD" w:rsidP="00E410B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>Тогучинского</w:t>
      </w:r>
      <w:proofErr w:type="spellEnd"/>
      <w:r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E410BD" w:rsidRPr="00E410BD" w:rsidRDefault="00E410BD" w:rsidP="00E410B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А.И</w:t>
      </w:r>
      <w:r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>. 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ордиенко</w:t>
      </w:r>
      <w:r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410BD" w:rsidRPr="00E410BD" w:rsidRDefault="00E410BD" w:rsidP="00E410B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10BD" w:rsidRPr="00E410BD" w:rsidRDefault="00E410BD" w:rsidP="00E410BD">
      <w:pPr>
        <w:ind w:left="-851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Председатель Совета депутатов</w:t>
      </w:r>
    </w:p>
    <w:p w:rsidR="00E410BD" w:rsidRPr="00E410BD" w:rsidRDefault="00E410BD" w:rsidP="00E410BD">
      <w:pPr>
        <w:ind w:left="-851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Сурковского  сельсовета</w:t>
      </w:r>
    </w:p>
    <w:p w:rsidR="00E410BD" w:rsidRPr="00E410BD" w:rsidRDefault="00E410BD" w:rsidP="00E410BD">
      <w:pPr>
        <w:ind w:left="-851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proofErr w:type="spellStart"/>
      <w:r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>Тогучинского</w:t>
      </w:r>
      <w:proofErr w:type="spellEnd"/>
      <w:r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E410BD" w:rsidRDefault="00E410BD" w:rsidP="00E410BD">
      <w:pPr>
        <w:ind w:left="-851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1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Новосибирской области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В.Н. Фадеев</w:t>
      </w:r>
    </w:p>
    <w:p w:rsidR="00E410BD" w:rsidRDefault="00E410BD" w:rsidP="00E410BD">
      <w:pPr>
        <w:ind w:left="-851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10BD" w:rsidRDefault="00E410BD" w:rsidP="00E410BD">
      <w:pPr>
        <w:ind w:left="-851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10BD" w:rsidRDefault="00E410BD" w:rsidP="00E410BD">
      <w:pPr>
        <w:ind w:left="-851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3C6A" w:rsidRDefault="00583C6A" w:rsidP="00E410BD">
      <w:pPr>
        <w:ind w:left="-851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10BD" w:rsidRPr="008745B8" w:rsidRDefault="00E410BD" w:rsidP="00E410BD">
      <w:pPr>
        <w:pStyle w:val="ConsPlusTitle"/>
        <w:jc w:val="center"/>
        <w:outlineLvl w:val="0"/>
      </w:pPr>
      <w:r w:rsidRPr="008745B8">
        <w:lastRenderedPageBreak/>
        <w:t>Отчёт главы Сурковского сельсовета о  результатах своей деятельности,   деятельности администрации Сурковского сельсовета,  в том числе о решении  вопросов,   поставленных  Советом депутатов Сурковского  сельсовета за</w:t>
      </w:r>
      <w:r>
        <w:t xml:space="preserve">  </w:t>
      </w:r>
      <w:r w:rsidRPr="008745B8">
        <w:t>201</w:t>
      </w:r>
      <w:r>
        <w:t>8</w:t>
      </w:r>
      <w:r w:rsidRPr="008745B8">
        <w:t xml:space="preserve"> год.</w:t>
      </w:r>
    </w:p>
    <w:p w:rsidR="00E410BD" w:rsidRDefault="00E410BD" w:rsidP="00E410BD">
      <w:pPr>
        <w:pStyle w:val="ConsPlusTitle"/>
        <w:jc w:val="center"/>
        <w:outlineLvl w:val="0"/>
        <w:rPr>
          <w:b w:val="0"/>
        </w:rPr>
      </w:pPr>
    </w:p>
    <w:p w:rsidR="00E410BD" w:rsidRDefault="00E410BD" w:rsidP="00E410BD">
      <w:pPr>
        <w:jc w:val="center"/>
        <w:rPr>
          <w:b/>
        </w:rPr>
      </w:pPr>
    </w:p>
    <w:p w:rsidR="00E410BD" w:rsidRPr="006B0088" w:rsidRDefault="00E410BD" w:rsidP="00E410BD">
      <w:pPr>
        <w:jc w:val="center"/>
      </w:pPr>
      <w:r w:rsidRPr="006B0088">
        <w:t>Уважаемые депутаты Совета депутатов, жители Сурковского  сельсовета!</w:t>
      </w:r>
    </w:p>
    <w:p w:rsidR="00E410BD" w:rsidRDefault="00E410BD" w:rsidP="00E410BD">
      <w:r>
        <w:t xml:space="preserve">     </w:t>
      </w:r>
      <w:r>
        <w:tab/>
        <w:t>С 14 мая 2018 года я приступил к исполнению обязанностей Главы Сурковского сельсовета. За этот период мною было проделана определённая работа, о которой постараюсь сейчас коротко рассказать.</w:t>
      </w:r>
    </w:p>
    <w:p w:rsidR="00E410BD" w:rsidRPr="00F51DB1" w:rsidRDefault="00E410BD" w:rsidP="00E410BD">
      <w:pPr>
        <w:jc w:val="both"/>
      </w:pPr>
      <w:r>
        <w:t xml:space="preserve">            </w:t>
      </w:r>
      <w:proofErr w:type="spellStart"/>
      <w:r w:rsidRPr="00F51DB1">
        <w:t>Сурковский</w:t>
      </w:r>
      <w:proofErr w:type="spellEnd"/>
      <w:r w:rsidRPr="00F51DB1">
        <w:t xml:space="preserve">  сельсовет был образован в  июне  1944 года</w:t>
      </w:r>
      <w:r>
        <w:t>,  летом 2019 года совету исполнится уже 75 лет.</w:t>
      </w:r>
    </w:p>
    <w:p w:rsidR="00E410BD" w:rsidRPr="00F51DB1" w:rsidRDefault="00E410BD" w:rsidP="00E410BD">
      <w:pPr>
        <w:jc w:val="both"/>
      </w:pPr>
      <w:r w:rsidRPr="00F51DB1">
        <w:tab/>
        <w:t xml:space="preserve">Территория поселения общей площадью   426690000 кв. км  расположена  в юго-восточной  части  Новосибирской области на расстоянии  137 км от областного центра  </w:t>
      </w:r>
      <w:proofErr w:type="spellStart"/>
      <w:r w:rsidRPr="00F51DB1">
        <w:t>г.Новосибирска</w:t>
      </w:r>
      <w:proofErr w:type="spellEnd"/>
      <w:r w:rsidRPr="00F51DB1">
        <w:t>, в 12  км от районного центра   и в  15  км от ближайшей железнодорожной станции  Тогучин. Протяженность поселения с севера на юг составляет  36   км и с запада на восток 51  км.</w:t>
      </w:r>
    </w:p>
    <w:p w:rsidR="00E410BD" w:rsidRDefault="00E410BD" w:rsidP="00E410BD">
      <w:pPr>
        <w:spacing w:after="120"/>
        <w:jc w:val="both"/>
      </w:pPr>
      <w:r w:rsidRPr="00F51DB1">
        <w:tab/>
        <w:t>На его территории расположено  7 населенных пунктов. Численность населения  на 01.01.2018  года составила  1528 человек</w:t>
      </w:r>
      <w:r>
        <w:t>, на 01.05.2018 года численность составляла 1520 человек.</w:t>
      </w:r>
      <w:r w:rsidRPr="00F51DB1">
        <w:t xml:space="preserve"> На  протяжении последних лет численность населения постоянно снижается. Все население сельское. Крупными селами являются – </w:t>
      </w:r>
      <w:proofErr w:type="spellStart"/>
      <w:r w:rsidRPr="00F51DB1">
        <w:t>п.Русско</w:t>
      </w:r>
      <w:proofErr w:type="spellEnd"/>
      <w:r w:rsidRPr="00F51DB1">
        <w:t xml:space="preserve">-Семеновский, </w:t>
      </w:r>
      <w:proofErr w:type="spellStart"/>
      <w:r w:rsidRPr="00F51DB1">
        <w:t>с.Сурково</w:t>
      </w:r>
      <w:proofErr w:type="spellEnd"/>
      <w:r w:rsidRPr="00F51DB1">
        <w:t xml:space="preserve"> , </w:t>
      </w:r>
      <w:proofErr w:type="spellStart"/>
      <w:r w:rsidRPr="00F51DB1">
        <w:t>д.Долгово</w:t>
      </w:r>
      <w:proofErr w:type="spellEnd"/>
      <w:r w:rsidRPr="00F51DB1">
        <w:t>. Этнический состав населения следующий: основное- русское.</w:t>
      </w:r>
    </w:p>
    <w:p w:rsidR="00E410BD" w:rsidRDefault="00E410BD" w:rsidP="00E410BD">
      <w:pPr>
        <w:spacing w:after="120"/>
        <w:jc w:val="both"/>
      </w:pPr>
      <w:r>
        <w:t xml:space="preserve">  На территории Сурковского сельсовета стала меняться возрастная структура населения. На конец апреля  2018 года на территории Сурковского сельсовета проживало 766 женщин и 757 мужчин от 1 года до 95 лет.</w:t>
      </w:r>
    </w:p>
    <w:p w:rsidR="00E410BD" w:rsidRDefault="00E410BD" w:rsidP="00E410BD">
      <w:pPr>
        <w:spacing w:after="120"/>
        <w:jc w:val="both"/>
      </w:pPr>
      <w:r>
        <w:t>В результате анализа выявлено, что:</w:t>
      </w:r>
    </w:p>
    <w:p w:rsidR="00E410BD" w:rsidRDefault="00E410BD" w:rsidP="00E410BD">
      <w:pPr>
        <w:spacing w:after="120"/>
        <w:jc w:val="both"/>
      </w:pPr>
      <w:r>
        <w:t>- из общего числа проживающих женщин  их численность от 55 лет и старше составила  231 человек, (это  около 30 % всех женщин или  15,2 % всего населения сельсовета). Средний возраст женщин в сельсовете составляет 38,4 лет, будем считать 38 лет.</w:t>
      </w:r>
    </w:p>
    <w:p w:rsidR="00E410BD" w:rsidRDefault="00E410BD" w:rsidP="00E410BD">
      <w:pPr>
        <w:spacing w:after="120"/>
        <w:jc w:val="both"/>
      </w:pPr>
      <w:r>
        <w:t>- из общего числа проживающих мужчин их численность от 60 лет и старше  составила 137 человек(это  около 18,1 % всех мужчин или  8,99 % всего населения сельсовета). Средний возраст мужчин в сельсовете составляет 36,99 лет, будем считать 37 лет.</w:t>
      </w:r>
    </w:p>
    <w:p w:rsidR="00E410BD" w:rsidRPr="00F51DB1" w:rsidRDefault="00E410BD" w:rsidP="00E410BD">
      <w:pPr>
        <w:spacing w:after="120"/>
        <w:jc w:val="both"/>
      </w:pPr>
      <w:proofErr w:type="spellStart"/>
      <w:r>
        <w:t>Т.о</w:t>
      </w:r>
      <w:proofErr w:type="spellEnd"/>
      <w:r>
        <w:t xml:space="preserve">., средний возраст населения по </w:t>
      </w:r>
      <w:proofErr w:type="spellStart"/>
      <w:r>
        <w:t>Сурковскому</w:t>
      </w:r>
      <w:proofErr w:type="spellEnd"/>
      <w:r>
        <w:t xml:space="preserve"> сельсовету на конец апреля 2018 года составлял  37,7 лет, следовательно, возрастная структура поселения претерпела изменения, население омолодилось, и это омоложение -  результат внутренней миграции трудоспособного населения </w:t>
      </w:r>
      <w:proofErr w:type="spellStart"/>
      <w:r>
        <w:t>Тогучинского</w:t>
      </w:r>
      <w:proofErr w:type="spellEnd"/>
      <w:r>
        <w:t xml:space="preserve"> района различных национальностей.</w:t>
      </w:r>
    </w:p>
    <w:p w:rsidR="00E410BD" w:rsidRDefault="00E410BD" w:rsidP="00E410BD">
      <w:pPr>
        <w:spacing w:after="120"/>
        <w:jc w:val="both"/>
      </w:pPr>
      <w:r w:rsidRPr="00F51DB1">
        <w:t>В 2018 году численность экономически активного населения, занятого на предприятиях и в учреждениях поселения, составила 230 человек</w:t>
      </w:r>
      <w:r>
        <w:t>, что меньше по сравнению с предыдущим годом на 7,4 %</w:t>
      </w:r>
      <w:r w:rsidRPr="00F51DB1">
        <w:t>. Численность населения в трудоспособном возрасте</w:t>
      </w:r>
      <w:r>
        <w:t xml:space="preserve"> возросла на 24,5 % по сравнению с прошлым годом и</w:t>
      </w:r>
      <w:r w:rsidRPr="00F51DB1">
        <w:t xml:space="preserve"> составила 1206 человек.</w:t>
      </w:r>
    </w:p>
    <w:p w:rsidR="00E410BD" w:rsidRDefault="00E410BD" w:rsidP="00E410BD">
      <w:pPr>
        <w:spacing w:after="120"/>
        <w:jc w:val="both"/>
        <w:rPr>
          <w:rFonts w:eastAsia="Calibri"/>
          <w:lang w:eastAsia="en-US"/>
        </w:rPr>
      </w:pPr>
      <w:r w:rsidRPr="00F51DB1">
        <w:t xml:space="preserve"> По данным  </w:t>
      </w:r>
      <w:r w:rsidRPr="00AB04A0">
        <w:rPr>
          <w:rFonts w:eastAsia="Calibri"/>
          <w:lang w:eastAsia="en-US"/>
        </w:rPr>
        <w:t xml:space="preserve">ГКУ НСО ЦЗН </w:t>
      </w:r>
      <w:proofErr w:type="spellStart"/>
      <w:r w:rsidRPr="00AB04A0">
        <w:rPr>
          <w:rFonts w:eastAsia="Calibri"/>
          <w:lang w:eastAsia="en-US"/>
        </w:rPr>
        <w:t>Тогучинского</w:t>
      </w:r>
      <w:proofErr w:type="spellEnd"/>
      <w:r w:rsidRPr="00AB04A0">
        <w:rPr>
          <w:rFonts w:eastAsia="Calibri"/>
          <w:lang w:eastAsia="en-US"/>
        </w:rPr>
        <w:t xml:space="preserve"> района численность населения Сурковского сельсовета, имеющего статус «безработного», составляет 31 человек.</w:t>
      </w:r>
      <w:r>
        <w:rPr>
          <w:rFonts w:eastAsia="Calibri"/>
          <w:lang w:eastAsia="en-US"/>
        </w:rPr>
        <w:t xml:space="preserve"> </w:t>
      </w:r>
      <w:proofErr w:type="spellStart"/>
      <w:r w:rsidRPr="00AB04A0">
        <w:rPr>
          <w:rFonts w:eastAsia="Calibri"/>
          <w:lang w:eastAsia="en-US"/>
        </w:rPr>
        <w:t>Т.о</w:t>
      </w:r>
      <w:proofErr w:type="spellEnd"/>
      <w:r w:rsidRPr="00AB04A0">
        <w:rPr>
          <w:rFonts w:eastAsia="Calibri"/>
          <w:lang w:eastAsia="en-US"/>
        </w:rPr>
        <w:t xml:space="preserve">., уровень официально </w:t>
      </w:r>
      <w:r w:rsidRPr="00AB04A0">
        <w:rPr>
          <w:rFonts w:eastAsia="Calibri"/>
          <w:lang w:eastAsia="en-US"/>
        </w:rPr>
        <w:lastRenderedPageBreak/>
        <w:t>зарегистрированной  безработицы  составляет 13,48 %, а   уровень  скрытой безработицы составляет около 46 %</w:t>
      </w:r>
      <w:r>
        <w:rPr>
          <w:rFonts w:eastAsia="Calibri"/>
          <w:lang w:eastAsia="en-US"/>
        </w:rPr>
        <w:t>.</w:t>
      </w:r>
    </w:p>
    <w:p w:rsidR="00E410BD" w:rsidRDefault="00E410BD" w:rsidP="00E410BD">
      <w:pPr>
        <w:spacing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Дополнительные рабочие места  на территории Сурковского сельсовета могут появиться в результате работы по перестройке </w:t>
      </w:r>
      <w:proofErr w:type="spellStart"/>
      <w:r>
        <w:rPr>
          <w:rFonts w:eastAsia="Calibri"/>
          <w:lang w:eastAsia="en-US"/>
        </w:rPr>
        <w:t>Долговской</w:t>
      </w:r>
      <w:proofErr w:type="spellEnd"/>
      <w:r>
        <w:rPr>
          <w:rFonts w:eastAsia="Calibri"/>
          <w:lang w:eastAsia="en-US"/>
        </w:rPr>
        <w:t xml:space="preserve"> средней школы под дом престарелых в д. Долгово, запланированной уже на середину 2019 года.</w:t>
      </w:r>
    </w:p>
    <w:p w:rsidR="00E410BD" w:rsidRDefault="00E410BD" w:rsidP="00E410BD">
      <w:pPr>
        <w:ind w:firstLine="709"/>
        <w:jc w:val="both"/>
      </w:pPr>
      <w:r>
        <w:t>Среднемесячная заработная плата в поселении составляет  13149 рублей   при уровне среднемесячной номинальной начисленной заработной плате работников предприятий и организаций Новосибирской области в  35264 рубля, что составляет всего 38 %. Население Сурковского сельсовета имеет весьма низкие доходы.</w:t>
      </w:r>
    </w:p>
    <w:p w:rsidR="00E410BD" w:rsidRDefault="00E410BD" w:rsidP="00E410BD">
      <w:pPr>
        <w:contextualSpacing/>
        <w:jc w:val="both"/>
      </w:pPr>
      <w:r>
        <w:t xml:space="preserve">          В течение последних лет прослеживалась положительная тенденция значительного роста доходной части консолидированного бюджета  поселения. В   структуре  бюджета поселения на 2018 год произошли  изменения :</w:t>
      </w:r>
    </w:p>
    <w:p w:rsidR="00E410BD" w:rsidRDefault="00E410BD" w:rsidP="00E410BD">
      <w:pPr>
        <w:keepNext/>
        <w:contextualSpacing/>
        <w:jc w:val="right"/>
        <w:outlineLvl w:val="0"/>
      </w:pPr>
      <w:r>
        <w:t>Таблица 2</w:t>
      </w:r>
    </w:p>
    <w:p w:rsidR="00E410BD" w:rsidRPr="001D6A07" w:rsidRDefault="00E410BD" w:rsidP="00E410BD">
      <w:pPr>
        <w:keepNext/>
        <w:contextualSpacing/>
        <w:jc w:val="center"/>
        <w:outlineLvl w:val="1"/>
        <w:rPr>
          <w:lang w:eastAsia="en-US"/>
        </w:rPr>
      </w:pPr>
      <w:r w:rsidRPr="001D6A07">
        <w:rPr>
          <w:lang w:eastAsia="en-US"/>
        </w:rPr>
        <w:t>Структура бюджета поселения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850"/>
        <w:gridCol w:w="991"/>
        <w:gridCol w:w="992"/>
        <w:gridCol w:w="993"/>
        <w:gridCol w:w="992"/>
        <w:gridCol w:w="741"/>
        <w:gridCol w:w="964"/>
        <w:gridCol w:w="992"/>
      </w:tblGrid>
      <w:tr w:rsidR="00E410BD" w:rsidRPr="00F51DB1" w:rsidTr="00B054B0">
        <w:trPr>
          <w:cantSplit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  <w:jc w:val="center"/>
            </w:pPr>
            <w:r w:rsidRPr="001D6A07">
              <w:t>Показатели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  <w:jc w:val="center"/>
            </w:pPr>
            <w:r w:rsidRPr="001D6A07">
              <w:t>г о д ы</w:t>
            </w:r>
          </w:p>
        </w:tc>
      </w:tr>
      <w:tr w:rsidR="00E410BD" w:rsidRPr="00F51DB1" w:rsidTr="00B054B0">
        <w:trPr>
          <w:cantSplit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BD" w:rsidRPr="001D6A07" w:rsidRDefault="00E410BD" w:rsidP="00B054B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  <w:jc w:val="center"/>
            </w:pPr>
            <w:r w:rsidRPr="001D6A07"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  <w:jc w:val="center"/>
            </w:pPr>
            <w:r w:rsidRPr="001D6A07">
              <w:t xml:space="preserve">2012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</w:pPr>
            <w:r w:rsidRPr="001D6A07"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</w:pPr>
            <w:r w:rsidRPr="001D6A07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</w:pPr>
            <w:r w:rsidRPr="001D6A07">
              <w:t>2015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</w:pPr>
            <w:r w:rsidRPr="001D6A07">
              <w:t>2016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</w:pPr>
            <w:r w:rsidRPr="001D6A07"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</w:pPr>
            <w:r w:rsidRPr="001D6A07">
              <w:t>2018</w:t>
            </w:r>
          </w:p>
        </w:tc>
      </w:tr>
      <w:tr w:rsidR="00E410BD" w:rsidRPr="00F51DB1" w:rsidTr="00B054B0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</w:pPr>
            <w:r w:rsidRPr="001D6A07">
              <w:t>1. Доходы бюджета (тыс. руб.),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 xml:space="preserve">6516,2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8640,4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13171,6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15888,6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13894,3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15673,8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16711,2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17608</w:t>
            </w:r>
            <w:r w:rsidRPr="001D6A0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</w:tr>
      <w:tr w:rsidR="00E410BD" w:rsidRPr="00F51DB1" w:rsidTr="00B054B0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</w:pPr>
            <w:r w:rsidRPr="001D6A07">
              <w:t>в том числе  на душу населения,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3937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5353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8161,0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9887,1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8755,1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9765,6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10464,12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11524,08</w:t>
            </w:r>
          </w:p>
        </w:tc>
      </w:tr>
      <w:tr w:rsidR="00E410BD" w:rsidRPr="00F51DB1" w:rsidTr="00B054B0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</w:pPr>
            <w:r>
              <w:t>2</w:t>
            </w:r>
            <w:r w:rsidRPr="001D6A07">
              <w:t>. Собственные доходы бюджета,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816,7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1185,2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1005,8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1055,6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3219,8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4260,4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3197,3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606,3</w:t>
            </w:r>
          </w:p>
        </w:tc>
      </w:tr>
      <w:tr w:rsidR="00E410BD" w:rsidRPr="00F51DB1" w:rsidTr="00B054B0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</w:pPr>
            <w:r w:rsidRPr="001D6A07">
              <w:t>в том числе:</w:t>
            </w:r>
          </w:p>
          <w:p w:rsidR="00E410BD" w:rsidRPr="001D6A07" w:rsidRDefault="00E410BD" w:rsidP="00B054B0">
            <w:pPr>
              <w:spacing w:after="120"/>
            </w:pPr>
            <w:r w:rsidRPr="001D6A07">
              <w:t>- 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207,0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231,5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249,8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586,7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748,0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724,8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49,6</w:t>
            </w:r>
          </w:p>
        </w:tc>
      </w:tr>
      <w:tr w:rsidR="00E410BD" w:rsidRPr="00F51DB1" w:rsidTr="00B054B0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</w:pPr>
            <w:r w:rsidRPr="001D6A07">
              <w:t>- налоги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244,3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304,1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339,3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417,3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407,4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457,7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546,1</w:t>
            </w:r>
          </w:p>
        </w:tc>
      </w:tr>
      <w:tr w:rsidR="00E410BD" w:rsidRPr="00F51DB1" w:rsidTr="00B054B0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</w:pPr>
            <w:r w:rsidRPr="001D6A07">
              <w:t>- 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25,0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34,3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</w:tr>
      <w:tr w:rsidR="00E410BD" w:rsidRPr="00F51DB1" w:rsidTr="00B054B0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</w:pPr>
            <w:r w:rsidRPr="001D6A07">
              <w:t>- доходы от имущества, сдаваемого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310,6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390,5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280,0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-</w:t>
            </w:r>
          </w:p>
        </w:tc>
      </w:tr>
      <w:tr w:rsidR="00E410BD" w:rsidRPr="00F51DB1" w:rsidTr="00B054B0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</w:pPr>
            <w:r w:rsidRPr="001D6A07">
              <w:t>в том числе  на душу населения,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46,9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241,5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404,0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203,78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41,3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2002,07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2360,14</w:t>
            </w:r>
          </w:p>
        </w:tc>
      </w:tr>
      <w:tr w:rsidR="00E410BD" w:rsidRPr="00F51DB1" w:rsidTr="00B054B0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</w:pPr>
            <w:r>
              <w:t>3</w:t>
            </w:r>
            <w:r w:rsidRPr="001D6A07">
              <w:t>. Расходы бюджета, тыс. руб.,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46,9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241,5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404,0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14328,6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41,3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1794,7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6804,20</w:t>
            </w:r>
          </w:p>
        </w:tc>
      </w:tr>
      <w:tr w:rsidR="00E410BD" w:rsidRPr="00F51DB1" w:rsidTr="00B054B0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</w:pPr>
            <w:r w:rsidRPr="001D6A07">
              <w:t>в том числе  на душу населения,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4058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5317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8192,0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9894,5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9028,7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10063,4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11211,46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0997,51</w:t>
            </w:r>
          </w:p>
        </w:tc>
      </w:tr>
      <w:tr w:rsidR="00E410BD" w:rsidRPr="00F51DB1" w:rsidTr="00B054B0">
        <w:trPr>
          <w:cantSplit/>
          <w:trHeight w:val="12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</w:pPr>
            <w:r w:rsidRPr="001D6A07">
              <w:lastRenderedPageBreak/>
              <w:t>. Структура расходной части бюджета по направлениям (%)</w:t>
            </w:r>
          </w:p>
          <w:p w:rsidR="00E410BD" w:rsidRPr="001D6A07" w:rsidRDefault="00E410BD" w:rsidP="00B054B0">
            <w:pPr>
              <w:spacing w:after="120"/>
            </w:pPr>
            <w:r w:rsidRPr="001D6A07">
              <w:t>-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55,8</w:t>
            </w: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40,5</w:t>
            </w: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51,7</w:t>
            </w: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50,3</w:t>
            </w: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54,1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50,1</w:t>
            </w: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56,5</w:t>
            </w: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52,</w:t>
            </w:r>
            <w:r>
              <w:rPr>
                <w:sz w:val="18"/>
                <w:szCs w:val="18"/>
              </w:rPr>
              <w:t>9</w:t>
            </w:r>
          </w:p>
        </w:tc>
      </w:tr>
      <w:tr w:rsidR="00E410BD" w:rsidRPr="00F51DB1" w:rsidTr="00B054B0">
        <w:trPr>
          <w:cantSplit/>
          <w:trHeight w:val="133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</w:pPr>
          </w:p>
          <w:p w:rsidR="00E410BD" w:rsidRPr="001D6A07" w:rsidRDefault="00E410BD" w:rsidP="00B054B0">
            <w:pPr>
              <w:spacing w:after="120"/>
            </w:pPr>
            <w:r w:rsidRPr="001D6A07">
              <w:t>- 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16,2</w:t>
            </w: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18,7</w:t>
            </w: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18,6</w:t>
            </w: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14,3</w:t>
            </w: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1,7</w:t>
            </w: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3,1</w:t>
            </w: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0,1</w:t>
            </w: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2,5</w:t>
            </w:r>
          </w:p>
        </w:tc>
      </w:tr>
      <w:tr w:rsidR="00E410BD" w:rsidRPr="00F51DB1" w:rsidTr="00B054B0">
        <w:trPr>
          <w:cantSplit/>
          <w:trHeight w:val="2111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</w:pPr>
          </w:p>
          <w:p w:rsidR="00E410BD" w:rsidRPr="001D6A07" w:rsidRDefault="00E410BD" w:rsidP="00B054B0">
            <w:pPr>
              <w:spacing w:after="120"/>
            </w:pPr>
          </w:p>
          <w:p w:rsidR="00E410BD" w:rsidRPr="001D6A07" w:rsidRDefault="00E410BD" w:rsidP="00B054B0">
            <w:pPr>
              <w:spacing w:after="120"/>
            </w:pPr>
            <w:r w:rsidRPr="001D6A07">
              <w:t>- государственное и муниципальное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28,0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16,4</w:t>
            </w: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14,3</w:t>
            </w: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15,3</w:t>
            </w: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E410BD" w:rsidRPr="001D6A07" w:rsidRDefault="00E410BD" w:rsidP="00B054B0">
            <w:pPr>
              <w:spacing w:after="120"/>
              <w:jc w:val="center"/>
              <w:rPr>
                <w:sz w:val="18"/>
                <w:szCs w:val="18"/>
              </w:rPr>
            </w:pPr>
            <w:r w:rsidRPr="001D6A0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Pr="001D6A07">
              <w:rPr>
                <w:sz w:val="18"/>
                <w:szCs w:val="18"/>
              </w:rPr>
              <w:t>,6</w:t>
            </w:r>
          </w:p>
        </w:tc>
      </w:tr>
      <w:tr w:rsidR="00E410BD" w:rsidRPr="00F51DB1" w:rsidTr="00B054B0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</w:pPr>
            <w:r>
              <w:t>4</w:t>
            </w:r>
            <w:r w:rsidRPr="001D6A07">
              <w:t>. Дефицит (-), профицит (+) бюджета,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</w:pPr>
            <w:r w:rsidRPr="001D6A07">
              <w:t>-199,1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1D6A07" w:rsidRDefault="00E410BD" w:rsidP="00B054B0">
            <w:pPr>
              <w:spacing w:after="120"/>
              <w:jc w:val="center"/>
            </w:pPr>
            <w:r w:rsidRPr="001D6A07">
              <w:t>-58,8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  <w:jc w:val="center"/>
            </w:pPr>
            <w:r w:rsidRPr="001D6A07">
              <w:t>-50,3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</w:pPr>
            <w:r w:rsidRPr="001D6A07">
              <w:t>-11,9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</w:pPr>
            <w:r w:rsidRPr="001D6A07">
              <w:t>-434,3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</w:pPr>
            <w:r w:rsidRPr="001D6A07">
              <w:t>-477,9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</w:pPr>
            <w:r w:rsidRPr="001D6A07">
              <w:t>-1193,6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1D6A07" w:rsidRDefault="00E410BD" w:rsidP="00B054B0">
            <w:pPr>
              <w:spacing w:after="120"/>
            </w:pPr>
            <w:r>
              <w:t>804,4</w:t>
            </w:r>
          </w:p>
        </w:tc>
      </w:tr>
    </w:tbl>
    <w:p w:rsidR="00E410BD" w:rsidRDefault="00E410BD" w:rsidP="00E410BD">
      <w:pPr>
        <w:keepNext/>
        <w:contextualSpacing/>
        <w:jc w:val="right"/>
        <w:outlineLvl w:val="0"/>
      </w:pPr>
    </w:p>
    <w:p w:rsidR="00E410BD" w:rsidRPr="009A4B16" w:rsidRDefault="00E410BD" w:rsidP="00E410BD">
      <w:pPr>
        <w:contextualSpacing/>
        <w:jc w:val="both"/>
      </w:pPr>
      <w:r w:rsidRPr="009A4B16">
        <w:t xml:space="preserve">  Необходимо отметить, что бюджет поселения в 2018 году был увеличен:</w:t>
      </w:r>
    </w:p>
    <w:p w:rsidR="00E410BD" w:rsidRPr="009A4B16" w:rsidRDefault="00E410BD" w:rsidP="00E410BD">
      <w:pPr>
        <w:contextualSpacing/>
        <w:jc w:val="both"/>
      </w:pPr>
      <w:r w:rsidRPr="009A4B16">
        <w:t xml:space="preserve">-  за счёт областных средств по  гранту, который был получен </w:t>
      </w:r>
      <w:proofErr w:type="spellStart"/>
      <w:r w:rsidRPr="009A4B16">
        <w:t>Сурковским</w:t>
      </w:r>
      <w:proofErr w:type="spellEnd"/>
      <w:r w:rsidRPr="009A4B16">
        <w:t xml:space="preserve"> сельсоветом из областных средств в размере 400,0 тыс. рублей (</w:t>
      </w:r>
      <w:proofErr w:type="spellStart"/>
      <w:r w:rsidRPr="009A4B16">
        <w:t>софинансирование</w:t>
      </w:r>
      <w:proofErr w:type="spellEnd"/>
      <w:r w:rsidRPr="009A4B16">
        <w:t xml:space="preserve"> составляло 1%, т.е. 4,0 </w:t>
      </w:r>
      <w:proofErr w:type="spellStart"/>
      <w:r w:rsidRPr="009A4B16">
        <w:t>тыс.рубл</w:t>
      </w:r>
      <w:proofErr w:type="spellEnd"/>
      <w:r w:rsidRPr="009A4B16">
        <w:t xml:space="preserve">.)и направлен на укрепление материальной базы сельсовета: был отремонтирован памятник в п. Русско-Семёновский, приобретён для школы спортивный инвентарь,  для МКУК КДЦ  приобретено звуковое оборудование, была обустроена территория под спортивную площадку в с. </w:t>
      </w:r>
      <w:proofErr w:type="spellStart"/>
      <w:r w:rsidRPr="009A4B16">
        <w:t>Сурково</w:t>
      </w:r>
      <w:proofErr w:type="spellEnd"/>
      <w:r w:rsidRPr="009A4B16">
        <w:t>.</w:t>
      </w:r>
    </w:p>
    <w:p w:rsidR="00E410BD" w:rsidRPr="009A4B16" w:rsidRDefault="00E410BD" w:rsidP="00E410BD">
      <w:pPr>
        <w:contextualSpacing/>
        <w:jc w:val="both"/>
      </w:pPr>
      <w:r w:rsidRPr="009A4B16">
        <w:t xml:space="preserve">-за счёт средств по инициативному бюджетированию  для обустройства детских спортивных площадок в с. </w:t>
      </w:r>
      <w:proofErr w:type="spellStart"/>
      <w:r w:rsidRPr="009A4B16">
        <w:t>Сурково</w:t>
      </w:r>
      <w:proofErr w:type="spellEnd"/>
      <w:r w:rsidRPr="009A4B16">
        <w:t xml:space="preserve"> и п. Русско-Семёновский в бюджет Сурковского сельсовета было направлено </w:t>
      </w:r>
      <w:r>
        <w:t>253,9</w:t>
      </w:r>
      <w:r w:rsidRPr="009A4B16">
        <w:t xml:space="preserve"> </w:t>
      </w:r>
      <w:proofErr w:type="spellStart"/>
      <w:r w:rsidRPr="009A4B16">
        <w:t>тыс.рублей</w:t>
      </w:r>
      <w:proofErr w:type="spellEnd"/>
      <w:r w:rsidRPr="009A4B16">
        <w:t xml:space="preserve"> (в том числе средства населения – 25</w:t>
      </w:r>
      <w:r>
        <w:t xml:space="preserve">,4 </w:t>
      </w:r>
      <w:proofErr w:type="spellStart"/>
      <w:r>
        <w:t>тыс.</w:t>
      </w:r>
      <w:r w:rsidRPr="009A4B16">
        <w:t>рубл</w:t>
      </w:r>
      <w:proofErr w:type="spellEnd"/>
      <w:r>
        <w:t>.</w:t>
      </w:r>
      <w:r w:rsidRPr="009A4B16">
        <w:t xml:space="preserve">, а </w:t>
      </w:r>
      <w:proofErr w:type="spellStart"/>
      <w:r w:rsidRPr="009A4B16">
        <w:t>софинансирование</w:t>
      </w:r>
      <w:proofErr w:type="spellEnd"/>
      <w:r w:rsidRPr="009A4B16">
        <w:t xml:space="preserve"> администрации – 50</w:t>
      </w:r>
      <w:r>
        <w:t>,8 тыс.</w:t>
      </w:r>
      <w:r w:rsidRPr="009A4B16">
        <w:t xml:space="preserve"> рублей);</w:t>
      </w:r>
    </w:p>
    <w:p w:rsidR="00E410BD" w:rsidRDefault="00E410BD" w:rsidP="00E410BD">
      <w:pPr>
        <w:contextualSpacing/>
        <w:jc w:val="both"/>
      </w:pPr>
      <w:r w:rsidRPr="009A4B16">
        <w:lastRenderedPageBreak/>
        <w:t xml:space="preserve">- за счёт средств Законодательного Собрания бюджет поселения был увеличен на сумму 1540,105 тыс. рублей, из которых </w:t>
      </w:r>
      <w:proofErr w:type="spellStart"/>
      <w:r w:rsidRPr="009A4B16">
        <w:t>софинансирование</w:t>
      </w:r>
      <w:proofErr w:type="spellEnd"/>
      <w:r w:rsidRPr="009A4B16">
        <w:t xml:space="preserve"> администрации составляло 114,4 тыс. рублей. Деньги были направлены на благоустройство территории: установку уличного освещения в  населённых пунктах поселения, благоустройство сквера и территории под детские площадки в с. </w:t>
      </w:r>
      <w:proofErr w:type="spellStart"/>
      <w:r w:rsidRPr="009A4B16">
        <w:t>Сурково</w:t>
      </w:r>
      <w:proofErr w:type="spellEnd"/>
      <w:r w:rsidRPr="009A4B16">
        <w:t xml:space="preserve"> и п. Русско-Семёновский и др. мероприятия.</w:t>
      </w:r>
    </w:p>
    <w:p w:rsidR="00E410BD" w:rsidRPr="009A4B16" w:rsidRDefault="00E410BD" w:rsidP="00E410BD">
      <w:pPr>
        <w:contextualSpacing/>
        <w:jc w:val="both"/>
      </w:pPr>
      <w:r>
        <w:t xml:space="preserve">Всего целевых средств в бюджет поселения в 2018 году было направлено 2198,1 </w:t>
      </w:r>
      <w:proofErr w:type="spellStart"/>
      <w:r>
        <w:t>тыс.руб</w:t>
      </w:r>
      <w:proofErr w:type="spellEnd"/>
      <w:r>
        <w:t>.</w:t>
      </w:r>
    </w:p>
    <w:p w:rsidR="00E410BD" w:rsidRDefault="00E410BD" w:rsidP="00E410BD">
      <w:pPr>
        <w:spacing w:after="120"/>
        <w:jc w:val="both"/>
      </w:pPr>
      <w:r>
        <w:t>Бюджет поселения на 2019 год представлен в меньшем  размере.</w:t>
      </w:r>
    </w:p>
    <w:p w:rsidR="00E410BD" w:rsidRDefault="00E410BD" w:rsidP="00E410BD">
      <w:pPr>
        <w:spacing w:after="120"/>
        <w:jc w:val="center"/>
        <w:rPr>
          <w:b/>
        </w:rPr>
      </w:pPr>
      <w:r>
        <w:rPr>
          <w:b/>
        </w:rPr>
        <w:t xml:space="preserve">Экономика поселения </w:t>
      </w:r>
    </w:p>
    <w:p w:rsidR="00E410BD" w:rsidRPr="00F51DB1" w:rsidRDefault="00E410BD" w:rsidP="00E410BD">
      <w:pPr>
        <w:spacing w:after="120"/>
        <w:jc w:val="both"/>
      </w:pPr>
      <w:r w:rsidRPr="00F51DB1">
        <w:t>Базовой отраслью экономики поселения является сельское хозяйство.</w:t>
      </w:r>
    </w:p>
    <w:p w:rsidR="00E410BD" w:rsidRPr="00F51DB1" w:rsidRDefault="00E410BD" w:rsidP="00E410BD">
      <w:pPr>
        <w:spacing w:after="120"/>
        <w:jc w:val="both"/>
      </w:pPr>
      <w:r w:rsidRPr="00F51DB1">
        <w:t>Специализацией поселения является плодовое и зерно-мясо-молочное направление. Данным видом деятельности занимаются  1 сельскохозяйственный производственный кооператив «Семёновский»,   1 –общество ограниченной ответственности   «</w:t>
      </w:r>
      <w:proofErr w:type="spellStart"/>
      <w:r w:rsidRPr="00F51DB1">
        <w:t>Сиб</w:t>
      </w:r>
      <w:proofErr w:type="spellEnd"/>
      <w:r w:rsidRPr="00F51DB1">
        <w:t xml:space="preserve">-Колос»,  6 крестьянских (фермерских) хозяйств. Средняя заработная плата в </w:t>
      </w:r>
      <w:proofErr w:type="spellStart"/>
      <w:r w:rsidRPr="00F51DB1">
        <w:t>ООО»Сиб</w:t>
      </w:r>
      <w:proofErr w:type="spellEnd"/>
      <w:r w:rsidRPr="00F51DB1">
        <w:t xml:space="preserve">-Колос» составляет 15,9 </w:t>
      </w:r>
      <w:proofErr w:type="spellStart"/>
      <w:r w:rsidRPr="00F51DB1">
        <w:t>тыс.рублей</w:t>
      </w:r>
      <w:proofErr w:type="spellEnd"/>
      <w:r w:rsidRPr="00F51DB1">
        <w:t xml:space="preserve">;  в СПК «Семёновский» - 13,9 </w:t>
      </w:r>
      <w:proofErr w:type="spellStart"/>
      <w:r w:rsidRPr="00F51DB1">
        <w:t>тыс.рублей</w:t>
      </w:r>
      <w:proofErr w:type="spellEnd"/>
      <w:r w:rsidRPr="00F51DB1">
        <w:t>.   Главы  КФХ работают  без зарплаты.</w:t>
      </w:r>
    </w:p>
    <w:p w:rsidR="00E410BD" w:rsidRPr="004D7885" w:rsidRDefault="00E410BD" w:rsidP="00E410BD">
      <w:pPr>
        <w:spacing w:after="120"/>
        <w:jc w:val="both"/>
      </w:pPr>
      <w:r w:rsidRPr="00F51DB1">
        <w:t xml:space="preserve"> 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2018 года составила 16,08 тыс. га. Более 80 % земель сельскохозяйственного назначения принадлежит сельскохозяйственным предприятиям</w:t>
      </w:r>
      <w:r>
        <w:t>, многие фермеры не ведут работы по оформлению своих земель, так  как или выехали за пределы области или  уже умерли</w:t>
      </w:r>
      <w:r w:rsidRPr="00F51DB1">
        <w:rPr>
          <w:b/>
        </w:rPr>
        <w:t>.</w:t>
      </w:r>
      <w:r>
        <w:rPr>
          <w:b/>
        </w:rPr>
        <w:t xml:space="preserve"> </w:t>
      </w:r>
      <w:r w:rsidRPr="004D7885">
        <w:t xml:space="preserve">Работа по выявлению таких участков ведётся в </w:t>
      </w:r>
      <w:proofErr w:type="spellStart"/>
      <w:r w:rsidRPr="004D7885">
        <w:t>Сурковском</w:t>
      </w:r>
      <w:proofErr w:type="spellEnd"/>
      <w:r w:rsidRPr="004D7885">
        <w:t xml:space="preserve"> сельсовете, но не такими темпами, как хотелось бы.</w:t>
      </w:r>
    </w:p>
    <w:p w:rsidR="00E410BD" w:rsidRPr="00F51DB1" w:rsidRDefault="00E410BD" w:rsidP="00E410BD">
      <w:pPr>
        <w:spacing w:after="120"/>
        <w:jc w:val="both"/>
      </w:pPr>
      <w:r w:rsidRPr="00F51DB1">
        <w:t>Из  общего  числа  зарегистрированных  на  территории поселения КФХ  в  настоящее  время  работает 6 хозяйств.</w:t>
      </w:r>
    </w:p>
    <w:p w:rsidR="00E410BD" w:rsidRPr="00461071" w:rsidRDefault="00E410BD" w:rsidP="00E410BD">
      <w:pPr>
        <w:spacing w:after="120"/>
        <w:jc w:val="both"/>
        <w:rPr>
          <w:rFonts w:eastAsia="Calibri"/>
          <w:b/>
          <w:sz w:val="24"/>
          <w:szCs w:val="24"/>
          <w:lang w:eastAsia="en-US"/>
        </w:rPr>
      </w:pPr>
      <w:r w:rsidRPr="00461071">
        <w:rPr>
          <w:rFonts w:eastAsia="Calibri"/>
          <w:color w:val="000000"/>
          <w:sz w:val="24"/>
          <w:szCs w:val="24"/>
          <w:lang w:eastAsia="en-US"/>
        </w:rPr>
        <w:t>Численность населения, занятого  в сельскохозяйственной отрасли, составляет 89 человек (8 человек заняты в КФХ, 55 – в ООО «</w:t>
      </w:r>
      <w:proofErr w:type="spellStart"/>
      <w:r w:rsidRPr="00461071">
        <w:rPr>
          <w:rFonts w:eastAsia="Calibri"/>
          <w:color w:val="000000"/>
          <w:sz w:val="24"/>
          <w:szCs w:val="24"/>
          <w:lang w:eastAsia="en-US"/>
        </w:rPr>
        <w:t>Сиб</w:t>
      </w:r>
      <w:proofErr w:type="spellEnd"/>
      <w:r w:rsidRPr="00461071">
        <w:rPr>
          <w:rFonts w:eastAsia="Calibri"/>
          <w:color w:val="000000"/>
          <w:sz w:val="24"/>
          <w:szCs w:val="24"/>
          <w:lang w:eastAsia="en-US"/>
        </w:rPr>
        <w:t>-Колос» и 26 человек- в СПК «Семёновский» ), что уменьшилось по сравнению с прошлым годом на 12 %.</w:t>
      </w:r>
    </w:p>
    <w:p w:rsidR="00E410BD" w:rsidRDefault="00E410BD" w:rsidP="00E410BD">
      <w:pPr>
        <w:suppressAutoHyphens/>
        <w:autoSpaceDN w:val="0"/>
        <w:jc w:val="both"/>
        <w:rPr>
          <w:rFonts w:ascii="Liberation Serif" w:eastAsia="SimSun" w:hAnsi="Liberation Serif" w:cs="Mangal" w:hint="eastAsia"/>
          <w:kern w:val="3"/>
          <w:lang w:eastAsia="zh-CN" w:bidi="hi-IN"/>
        </w:rPr>
      </w:pPr>
      <w:r>
        <w:rPr>
          <w:rFonts w:ascii="Liberation Serif" w:eastAsia="SimSun" w:hAnsi="Liberation Serif" w:cs="Mangal"/>
          <w:kern w:val="3"/>
          <w:lang w:eastAsia="zh-CN" w:bidi="hi-IN"/>
        </w:rPr>
        <w:t xml:space="preserve">В текущем году объём инвестиций в предприятия сельскохозяйственной  отрасли  не  производился, что  говорит о  трудном годе  для  сельхозпроизводителей. Средняя урожайность зерновых  по поселению составляет  около 16 ц с га, но неблагоприятные погодные условия и невыгодные для сельхозпроизводителей условия сушки зерновых на элеваторах существенно  уменьшают доходы  хозяйств независимо от форм собственности. </w:t>
      </w:r>
    </w:p>
    <w:p w:rsidR="00E410BD" w:rsidRDefault="00E410BD" w:rsidP="00E410BD">
      <w:pPr>
        <w:suppressAutoHyphens/>
        <w:autoSpaceDN w:val="0"/>
        <w:jc w:val="both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E410BD" w:rsidRDefault="00E410BD" w:rsidP="00E410BD">
      <w:pPr>
        <w:spacing w:after="120"/>
        <w:jc w:val="both"/>
      </w:pPr>
      <w:r>
        <w:t xml:space="preserve">На территории поселения  имеется - </w:t>
      </w:r>
      <w:proofErr w:type="spellStart"/>
      <w:r>
        <w:t>Осиновское</w:t>
      </w:r>
      <w:proofErr w:type="spellEnd"/>
      <w:r>
        <w:t xml:space="preserve"> месторождение известняка с  объёмом  производства   до 1 млн. руб. в год, также  имеется  карьер по добыче камня около посёлка Русско- Семёновский. Работы   собственниками  по  добыче  камня   не  ведутся .</w:t>
      </w:r>
    </w:p>
    <w:p w:rsidR="00E410BD" w:rsidRPr="00F51DB1" w:rsidRDefault="00E410BD" w:rsidP="00E410BD">
      <w:pPr>
        <w:suppressAutoHyphens/>
        <w:autoSpaceDN w:val="0"/>
        <w:jc w:val="both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F51DB1">
        <w:rPr>
          <w:rFonts w:ascii="Liberation Serif" w:eastAsia="SimSun" w:hAnsi="Liberation Serif" w:cs="Mangal"/>
          <w:kern w:val="3"/>
          <w:lang w:eastAsia="zh-CN" w:bidi="hi-IN"/>
        </w:rPr>
        <w:t xml:space="preserve">Крупномасштабное строительство на  территории  Сурковского сельсовета </w:t>
      </w:r>
      <w:proofErr w:type="spellStart"/>
      <w:r w:rsidRPr="00F51DB1">
        <w:rPr>
          <w:rFonts w:ascii="Liberation Serif" w:eastAsia="SimSun" w:hAnsi="Liberation Serif" w:cs="Mangal"/>
          <w:kern w:val="3"/>
          <w:lang w:eastAsia="zh-CN" w:bidi="hi-IN"/>
        </w:rPr>
        <w:t>Тогучинского</w:t>
      </w:r>
      <w:proofErr w:type="spellEnd"/>
      <w:r w:rsidRPr="00F51DB1">
        <w:rPr>
          <w:rFonts w:ascii="Liberation Serif" w:eastAsia="SimSun" w:hAnsi="Liberation Serif" w:cs="Mangal"/>
          <w:kern w:val="3"/>
          <w:lang w:eastAsia="zh-CN" w:bidi="hi-IN"/>
        </w:rPr>
        <w:t xml:space="preserve"> района Новосибирской области   не ведётся. </w:t>
      </w:r>
    </w:p>
    <w:p w:rsidR="00E410BD" w:rsidRDefault="00E410BD" w:rsidP="00E410BD">
      <w:pPr>
        <w:spacing w:after="120"/>
        <w:jc w:val="both"/>
      </w:pPr>
    </w:p>
    <w:p w:rsidR="00E410BD" w:rsidRDefault="00E410BD" w:rsidP="00E410BD">
      <w:pPr>
        <w:spacing w:after="120"/>
        <w:jc w:val="both"/>
      </w:pPr>
      <w:r>
        <w:t xml:space="preserve">Протяженность автомобильных дорог общего пользования, относящихся к собственности МО Сурковского сельсовет, составляет 42,0 км на конец года, в том числе с твердым покрытием 1,2 км.  Производится ежегодный   частичный  ремонт  дорог  поселения, продолжается работа по оформлению  правоустанавливающих  документов  на автодороги  поселения, на сегодняшний день оформлено около 20 км </w:t>
      </w:r>
      <w:proofErr w:type="spellStart"/>
      <w:r>
        <w:t>внутрипоселковых</w:t>
      </w:r>
      <w:proofErr w:type="spellEnd"/>
      <w:r>
        <w:t xml:space="preserve"> дорог.</w:t>
      </w:r>
    </w:p>
    <w:p w:rsidR="00E410BD" w:rsidRPr="00F51DB1" w:rsidRDefault="00E410BD" w:rsidP="00E410BD">
      <w:pPr>
        <w:spacing w:after="120"/>
        <w:jc w:val="both"/>
        <w:rPr>
          <w:i/>
          <w:iCs/>
        </w:rPr>
      </w:pPr>
      <w:r w:rsidRPr="00F51DB1">
        <w:lastRenderedPageBreak/>
        <w:t xml:space="preserve">В поселении  </w:t>
      </w:r>
      <w:proofErr w:type="spellStart"/>
      <w:r w:rsidRPr="00F51DB1">
        <w:t>Сурковский</w:t>
      </w:r>
      <w:proofErr w:type="spellEnd"/>
      <w:r w:rsidRPr="00F51DB1">
        <w:t xml:space="preserve">  сельсовет на начало 2018 года жилищный фонд составил  35,1 тыс. кв. метров общей площади. В среднем на одного жителя приходится более  20 кв. метр площади. Муниципальный жилой фонд составил  13.1 тыс. кв. м.</w:t>
      </w:r>
      <w:r>
        <w:t>, это вопрос  так же требует корректировки.</w:t>
      </w:r>
      <w:r w:rsidRPr="00F51DB1">
        <w:t xml:space="preserve"> </w:t>
      </w:r>
      <w:r>
        <w:t>Фактически имеющийся муниципальный жилой фонд гораздо  меньше.</w:t>
      </w:r>
      <w:r w:rsidRPr="00F51DB1">
        <w:t xml:space="preserve">  </w:t>
      </w:r>
    </w:p>
    <w:p w:rsidR="00E410BD" w:rsidRPr="00F51DB1" w:rsidRDefault="00E410BD" w:rsidP="00E410BD">
      <w:pPr>
        <w:keepNext/>
        <w:tabs>
          <w:tab w:val="num" w:pos="0"/>
        </w:tabs>
        <w:suppressAutoHyphens/>
        <w:autoSpaceDE w:val="0"/>
        <w:spacing w:before="120" w:line="288" w:lineRule="atLeast"/>
        <w:jc w:val="both"/>
        <w:textAlignment w:val="baseline"/>
        <w:outlineLvl w:val="1"/>
      </w:pPr>
      <w:r w:rsidRPr="00F51DB1">
        <w:t xml:space="preserve">      С апреля 2018 года на территории Сурковского  поселения осуществляет деятельность МУП </w:t>
      </w:r>
      <w:proofErr w:type="spellStart"/>
      <w:r w:rsidRPr="00F51DB1">
        <w:t>Тогучинского</w:t>
      </w:r>
      <w:proofErr w:type="spellEnd"/>
      <w:r w:rsidRPr="00F51DB1">
        <w:t xml:space="preserve"> района  «Центр модернизации ЖКХ»  по предоставлению  жилищно-коммунальных услуг населению.</w:t>
      </w:r>
    </w:p>
    <w:p w:rsidR="00E410BD" w:rsidRPr="00F51DB1" w:rsidRDefault="00E410BD" w:rsidP="00E410BD">
      <w:pPr>
        <w:spacing w:after="120"/>
        <w:jc w:val="both"/>
      </w:pPr>
      <w:r w:rsidRPr="00F51DB1">
        <w:t xml:space="preserve">На  территории поселения функционирует 4 котельных, установленной мощностью  4.5 Гкал. </w:t>
      </w:r>
    </w:p>
    <w:p w:rsidR="00E410BD" w:rsidRDefault="00E410BD" w:rsidP="00E410BD">
      <w:pPr>
        <w:autoSpaceDE w:val="0"/>
        <w:autoSpaceDN w:val="0"/>
        <w:jc w:val="both"/>
      </w:pPr>
      <w:r w:rsidRPr="00F51DB1">
        <w:rPr>
          <w:rFonts w:eastAsia="Calibri"/>
          <w:lang w:eastAsia="en-US"/>
        </w:rPr>
        <w:t xml:space="preserve">В поселении имеются проблемы  водоснабжения  и качества воды. Причинами данных проблем являются старые  водонапорные башни (1978 г) и скважины, старый водопровод в населённых пунктах поселения.  Сбор платежей за предоставленные услуги осуществляет </w:t>
      </w:r>
      <w:r w:rsidRPr="00F51DB1">
        <w:t xml:space="preserve">МУП «Центр модернизации ЖКХ».  </w:t>
      </w:r>
    </w:p>
    <w:p w:rsidR="00E410BD" w:rsidRPr="00F51DB1" w:rsidRDefault="00E410BD" w:rsidP="00E410BD">
      <w:pPr>
        <w:spacing w:after="120"/>
        <w:jc w:val="both"/>
      </w:pPr>
      <w:r>
        <w:t xml:space="preserve">  </w:t>
      </w:r>
      <w:r w:rsidRPr="00F51DB1">
        <w:t xml:space="preserve">По состоянию на 01.01.2018 года на территории поселения зарегистрировано   10  индивидуальных предпринимателей,4 из которых осуществляют свою деятельность в торговле. </w:t>
      </w:r>
    </w:p>
    <w:p w:rsidR="00E410BD" w:rsidRPr="00F51DB1" w:rsidRDefault="00E410BD" w:rsidP="00E410BD">
      <w:pPr>
        <w:spacing w:after="120"/>
        <w:jc w:val="both"/>
        <w:rPr>
          <w:b/>
        </w:rPr>
      </w:pPr>
      <w:r w:rsidRPr="00F51DB1">
        <w:t xml:space="preserve">         Удельный вес индивидуальных предпринимателей к общему числу предприятий, зарегистрированных на территории  поселения  составляет   40 %. Основные виды деятельности предприятий – торговля. </w:t>
      </w:r>
    </w:p>
    <w:p w:rsidR="00E410BD" w:rsidRPr="00F51DB1" w:rsidRDefault="00E410BD" w:rsidP="00E410BD">
      <w:pPr>
        <w:spacing w:after="120"/>
        <w:jc w:val="both"/>
      </w:pPr>
      <w:r w:rsidRPr="00F51DB1">
        <w:t xml:space="preserve">По состоянию на 01.01.2018 года в поселении функционирует 6 торговых точек, в том числе:  5 стационарных магазинов (из них магазинов потребительской кооперации – 1). </w:t>
      </w:r>
      <w:r w:rsidRPr="00F51DB1">
        <w:tab/>
      </w:r>
    </w:p>
    <w:p w:rsidR="00E410BD" w:rsidRPr="00F51DB1" w:rsidRDefault="00E410BD" w:rsidP="00E410BD">
      <w:pPr>
        <w:spacing w:after="120"/>
        <w:jc w:val="both"/>
      </w:pPr>
      <w:r w:rsidRPr="00F51DB1">
        <w:t>В последние годы в формировании оборота розничной торговли прослеживаются положительные тенденции.   Тем не менее, объём  товарооборота в торговых точках поселения  в текущем году составил   свыше  13 млн. рублей, что меньше  на  31,6 %  по сравнению с прошлым годом. Уменьшение товарооборота может быть следствием  неточного информирования  в части предоставления достоверной информации владельцами магазинов, но, следует отметить, что цены на ассортимент товаров  повышаются, количество покупателей  не уменьшается, но закупки всё же жители предпочитают делать в оптовых магазинах г. Тогучина.</w:t>
      </w:r>
    </w:p>
    <w:p w:rsidR="00E410BD" w:rsidRPr="00F51DB1" w:rsidRDefault="00E410BD" w:rsidP="00E410BD">
      <w:pPr>
        <w:spacing w:after="120"/>
        <w:jc w:val="both"/>
      </w:pPr>
      <w:r w:rsidRPr="00F51DB1">
        <w:t>Также следует отметить</w:t>
      </w:r>
      <w:r>
        <w:t xml:space="preserve">, что </w:t>
      </w:r>
      <w:r w:rsidRPr="00F51DB1">
        <w:t xml:space="preserve"> уменьшение  оборота  общественного питания практически на половину</w:t>
      </w:r>
      <w:r>
        <w:t xml:space="preserve">- это </w:t>
      </w:r>
      <w:r w:rsidRPr="00F51DB1">
        <w:t>результат уменьшения ассортимента  продукции, выпускаемой пекарней при ООО «</w:t>
      </w:r>
      <w:proofErr w:type="spellStart"/>
      <w:r w:rsidRPr="00F51DB1">
        <w:t>Сиб</w:t>
      </w:r>
      <w:proofErr w:type="spellEnd"/>
      <w:r w:rsidRPr="00F51DB1">
        <w:t xml:space="preserve">-Колос» в результате поломки оборудования. </w:t>
      </w:r>
    </w:p>
    <w:p w:rsidR="00E410BD" w:rsidRPr="00F51DB1" w:rsidRDefault="00E410BD" w:rsidP="00E410BD">
      <w:pPr>
        <w:tabs>
          <w:tab w:val="left" w:pos="7350"/>
        </w:tabs>
        <w:suppressAutoHyphens/>
        <w:autoSpaceDN w:val="0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F51DB1">
        <w:rPr>
          <w:rFonts w:ascii="Liberation Serif" w:eastAsia="SimSun" w:hAnsi="Liberation Serif" w:cs="Mangal" w:hint="eastAsia"/>
          <w:kern w:val="3"/>
          <w:lang w:eastAsia="zh-CN" w:bidi="hi-IN"/>
        </w:rPr>
        <w:tab/>
      </w:r>
    </w:p>
    <w:p w:rsidR="00E410BD" w:rsidRDefault="00E410BD" w:rsidP="00E410BD">
      <w:pPr>
        <w:suppressAutoHyphens/>
        <w:autoSpaceDN w:val="0"/>
        <w:jc w:val="center"/>
        <w:rPr>
          <w:rFonts w:ascii="Liberation Serif" w:eastAsia="SimSun" w:hAnsi="Liberation Serif" w:cs="Mangal" w:hint="eastAsia"/>
          <w:b/>
          <w:kern w:val="3"/>
          <w:lang w:eastAsia="zh-CN" w:bidi="hi-IN"/>
        </w:rPr>
      </w:pPr>
    </w:p>
    <w:p w:rsidR="00E410BD" w:rsidRDefault="00E410BD" w:rsidP="00E410BD">
      <w:pPr>
        <w:spacing w:after="120"/>
        <w:jc w:val="center"/>
        <w:rPr>
          <w:b/>
        </w:rPr>
      </w:pPr>
      <w:r>
        <w:rPr>
          <w:b/>
        </w:rPr>
        <w:t xml:space="preserve">Социальная сфера </w:t>
      </w:r>
    </w:p>
    <w:p w:rsidR="00E410BD" w:rsidRDefault="00E410BD" w:rsidP="00E410BD">
      <w:pPr>
        <w:spacing w:after="120"/>
        <w:jc w:val="center"/>
        <w:rPr>
          <w:b/>
        </w:rPr>
      </w:pPr>
      <w:r>
        <w:rPr>
          <w:b/>
        </w:rPr>
        <w:t>Образование</w:t>
      </w:r>
    </w:p>
    <w:p w:rsidR="00E410BD" w:rsidRPr="00F51DB1" w:rsidRDefault="00E410BD" w:rsidP="00E410BD">
      <w:pPr>
        <w:spacing w:after="120"/>
        <w:jc w:val="both"/>
      </w:pPr>
      <w:r w:rsidRPr="00F51DB1">
        <w:t xml:space="preserve">В системе образования  поселения на 01.01.2018 г. функционирует  1 дошкольная  группа, которую посещают  27 человек, являющаяся  структурным  подразделением  МКОУ </w:t>
      </w:r>
      <w:proofErr w:type="spellStart"/>
      <w:r w:rsidRPr="00F51DB1">
        <w:t>Тогучинского</w:t>
      </w:r>
      <w:proofErr w:type="spellEnd"/>
      <w:r w:rsidRPr="00F51DB1">
        <w:t xml:space="preserve"> района  «</w:t>
      </w:r>
      <w:proofErr w:type="spellStart"/>
      <w:r w:rsidRPr="00F51DB1">
        <w:t>Сурковская</w:t>
      </w:r>
      <w:proofErr w:type="spellEnd"/>
      <w:r w:rsidRPr="00F51DB1">
        <w:t xml:space="preserve">  средняя школа»</w:t>
      </w:r>
    </w:p>
    <w:p w:rsidR="00E410BD" w:rsidRPr="00F51DB1" w:rsidRDefault="00E410BD" w:rsidP="00E410BD">
      <w:pPr>
        <w:jc w:val="both"/>
      </w:pPr>
      <w:r w:rsidRPr="00F51DB1">
        <w:t xml:space="preserve">На территории поселения действует 1 муниципальное казённое  общеобразовательное  учреждение </w:t>
      </w:r>
      <w:proofErr w:type="spellStart"/>
      <w:r w:rsidRPr="00F51DB1">
        <w:t>Тогучинского</w:t>
      </w:r>
      <w:proofErr w:type="spellEnd"/>
      <w:r w:rsidRPr="00F51DB1">
        <w:t xml:space="preserve"> района «</w:t>
      </w:r>
      <w:proofErr w:type="spellStart"/>
      <w:r w:rsidRPr="00F51DB1">
        <w:t>Сурковская</w:t>
      </w:r>
      <w:proofErr w:type="spellEnd"/>
      <w:r w:rsidRPr="00F51DB1">
        <w:t xml:space="preserve">  средняя школа» в с. </w:t>
      </w:r>
      <w:proofErr w:type="spellStart"/>
      <w:r w:rsidRPr="00F51DB1">
        <w:t>Сурково</w:t>
      </w:r>
      <w:proofErr w:type="spellEnd"/>
      <w:r w:rsidRPr="00F51DB1">
        <w:t>, в которой   обучается    143 человека, подвоз детей в школу осуществляется из  трёх населённых пунктов Сурковского сельсовета: из д. Долгово – 15 человек, из п. Русско-Семёновский – 32 ребёнка и из п. Красный Выселок – трое учащихся..</w:t>
      </w:r>
    </w:p>
    <w:p w:rsidR="00E410BD" w:rsidRDefault="00E410BD" w:rsidP="00E410BD">
      <w:pPr>
        <w:jc w:val="both"/>
      </w:pPr>
    </w:p>
    <w:p w:rsidR="00E410BD" w:rsidRDefault="00E410BD" w:rsidP="00E410BD">
      <w:pPr>
        <w:spacing w:after="120"/>
        <w:jc w:val="both"/>
      </w:pPr>
      <w:r w:rsidRPr="00F51DB1">
        <w:rPr>
          <w:rFonts w:eastAsia="SimSun"/>
          <w:kern w:val="3"/>
          <w:lang w:eastAsia="zh-CN" w:bidi="hi-IN"/>
        </w:rPr>
        <w:t xml:space="preserve">Средняя заработная плата педагогического персонала составляет свыше 26,0 тыс. рублей,  зарплата технического персонала – свыше 13,0 </w:t>
      </w:r>
      <w:proofErr w:type="spellStart"/>
      <w:r w:rsidRPr="00F51DB1">
        <w:rPr>
          <w:rFonts w:eastAsia="SimSun"/>
          <w:kern w:val="3"/>
          <w:lang w:eastAsia="zh-CN" w:bidi="hi-IN"/>
        </w:rPr>
        <w:t>тыс.рублей</w:t>
      </w:r>
      <w:proofErr w:type="spellEnd"/>
      <w:r w:rsidRPr="00F51DB1">
        <w:rPr>
          <w:rFonts w:eastAsia="SimSun"/>
          <w:kern w:val="3"/>
          <w:lang w:eastAsia="zh-CN" w:bidi="hi-IN"/>
        </w:rPr>
        <w:t>. Заработная плата работников по дошк</w:t>
      </w:r>
      <w:r>
        <w:rPr>
          <w:rFonts w:eastAsia="SimSun"/>
          <w:kern w:val="3"/>
          <w:lang w:eastAsia="zh-CN" w:bidi="hi-IN"/>
        </w:rPr>
        <w:t>ольной группе – около 17,0 тыс. рублей.</w:t>
      </w:r>
      <w:r w:rsidRPr="00A34C5B">
        <w:t xml:space="preserve"> </w:t>
      </w:r>
    </w:p>
    <w:p w:rsidR="00E410BD" w:rsidRPr="00A34C5B" w:rsidRDefault="00E410BD" w:rsidP="00E410BD">
      <w:pPr>
        <w:spacing w:after="120"/>
        <w:jc w:val="center"/>
        <w:rPr>
          <w:b/>
        </w:rPr>
      </w:pPr>
      <w:r w:rsidRPr="00A34C5B">
        <w:rPr>
          <w:b/>
        </w:rPr>
        <w:t>Медицинское обслуживание</w:t>
      </w:r>
    </w:p>
    <w:p w:rsidR="00E410BD" w:rsidRPr="00F51DB1" w:rsidRDefault="00E410BD" w:rsidP="00E410BD">
      <w:pPr>
        <w:spacing w:after="120"/>
        <w:jc w:val="both"/>
      </w:pPr>
      <w:r w:rsidRPr="00F51DB1">
        <w:t xml:space="preserve">Медицинское обслуживание населения осуществляют </w:t>
      </w:r>
      <w:proofErr w:type="spellStart"/>
      <w:r w:rsidRPr="00F51DB1">
        <w:t>Сурковская</w:t>
      </w:r>
      <w:proofErr w:type="spellEnd"/>
      <w:r w:rsidRPr="00F51DB1">
        <w:t xml:space="preserve"> врачебная  амбулатория, </w:t>
      </w:r>
      <w:proofErr w:type="spellStart"/>
      <w:r w:rsidRPr="00F51DB1">
        <w:t>ФАПы</w:t>
      </w:r>
      <w:proofErr w:type="spellEnd"/>
      <w:r w:rsidRPr="00F51DB1">
        <w:t xml:space="preserve"> -в </w:t>
      </w:r>
      <w:proofErr w:type="spellStart"/>
      <w:r w:rsidRPr="00F51DB1">
        <w:t>с.Долгово</w:t>
      </w:r>
      <w:proofErr w:type="spellEnd"/>
      <w:r w:rsidRPr="00F51DB1">
        <w:t xml:space="preserve"> , п. Русско-Семеновский.</w:t>
      </w:r>
    </w:p>
    <w:p w:rsidR="00E410BD" w:rsidRPr="00F51DB1" w:rsidRDefault="00E410BD" w:rsidP="00E410BD">
      <w:pPr>
        <w:spacing w:after="120"/>
        <w:jc w:val="both"/>
      </w:pPr>
      <w:r w:rsidRPr="00F51DB1">
        <w:t>В 2016 году возник  и  не  решён до  настоящего  момента   кадровый вопрос  в   амбулатории . В  настоящее время в амбулатории  имеется  1 стоматолог,1 фельдшер, 1 медсестра  и 1 уборщик  служебных помещений. Один раз в месяц из  центральной районной больницы  для приёма  населения   выезжает  терапевт, один раз в  неделю-</w:t>
      </w:r>
      <w:proofErr w:type="spellStart"/>
      <w:r w:rsidRPr="00F51DB1">
        <w:t>педиатор</w:t>
      </w:r>
      <w:proofErr w:type="spellEnd"/>
      <w:r w:rsidRPr="00F51DB1">
        <w:t xml:space="preserve">. Средняя заработная плата работающих в амбулатории за 2018 год составила свыше 25,0 </w:t>
      </w:r>
      <w:proofErr w:type="spellStart"/>
      <w:r w:rsidRPr="00F51DB1">
        <w:t>тыс.рублей</w:t>
      </w:r>
      <w:proofErr w:type="spellEnd"/>
      <w:r w:rsidRPr="00F51DB1">
        <w:t>.</w:t>
      </w:r>
    </w:p>
    <w:p w:rsidR="00E410BD" w:rsidRPr="00F51DB1" w:rsidRDefault="00E410BD" w:rsidP="00E410BD">
      <w:pPr>
        <w:spacing w:after="120"/>
        <w:jc w:val="both"/>
      </w:pPr>
      <w:r w:rsidRPr="00F51DB1">
        <w:t xml:space="preserve">В Долговском  </w:t>
      </w:r>
      <w:proofErr w:type="spellStart"/>
      <w:r w:rsidRPr="00F51DB1">
        <w:t>ФАПе</w:t>
      </w:r>
      <w:proofErr w:type="spellEnd"/>
      <w:r w:rsidRPr="00F51DB1">
        <w:t xml:space="preserve"> работают  медицинская сестра и  уборщик служебных помещений на неполную ставку, причём население д. Верх-</w:t>
      </w:r>
      <w:proofErr w:type="spellStart"/>
      <w:r w:rsidRPr="00F51DB1">
        <w:t>Ачино</w:t>
      </w:r>
      <w:proofErr w:type="spellEnd"/>
      <w:r w:rsidRPr="00F51DB1">
        <w:t xml:space="preserve"> и п. Красный Выселок обслуживается  данным </w:t>
      </w:r>
      <w:proofErr w:type="spellStart"/>
      <w:r w:rsidRPr="00F51DB1">
        <w:t>ФАПом</w:t>
      </w:r>
      <w:proofErr w:type="spellEnd"/>
      <w:r w:rsidRPr="00F51DB1">
        <w:t xml:space="preserve">. Средняя заработная плата работающих в </w:t>
      </w:r>
      <w:proofErr w:type="spellStart"/>
      <w:r w:rsidRPr="00F51DB1">
        <w:t>ФАПе</w:t>
      </w:r>
      <w:proofErr w:type="spellEnd"/>
      <w:r w:rsidRPr="00F51DB1">
        <w:t xml:space="preserve"> за 2018 год составила свыше 19,0 </w:t>
      </w:r>
      <w:proofErr w:type="spellStart"/>
      <w:r w:rsidRPr="00F51DB1">
        <w:t>тыс.рублей</w:t>
      </w:r>
      <w:proofErr w:type="spellEnd"/>
      <w:r w:rsidRPr="00F51DB1">
        <w:t>.</w:t>
      </w:r>
    </w:p>
    <w:p w:rsidR="00E410BD" w:rsidRPr="00F51DB1" w:rsidRDefault="00E410BD" w:rsidP="00E410BD">
      <w:pPr>
        <w:spacing w:after="120"/>
        <w:jc w:val="both"/>
      </w:pPr>
      <w:r w:rsidRPr="00F51DB1">
        <w:t xml:space="preserve"> ФАП  п. Русско-Семёновский обслуживается 1 акушеркой и также имеется 1 уборщик служебных помещений на неполную ставку. Средняя заработная плата работающих в </w:t>
      </w:r>
      <w:proofErr w:type="spellStart"/>
      <w:r w:rsidRPr="00F51DB1">
        <w:t>ФАПе</w:t>
      </w:r>
      <w:proofErr w:type="spellEnd"/>
      <w:r w:rsidRPr="00F51DB1">
        <w:t xml:space="preserve"> за 2018 год составила свыше 23,0 </w:t>
      </w:r>
      <w:proofErr w:type="spellStart"/>
      <w:r w:rsidRPr="00F51DB1">
        <w:t>тыс.рублей</w:t>
      </w:r>
      <w:proofErr w:type="spellEnd"/>
      <w:r w:rsidRPr="00F51DB1">
        <w:t>.</w:t>
      </w:r>
    </w:p>
    <w:p w:rsidR="00E410BD" w:rsidRPr="00F51DB1" w:rsidRDefault="00E410BD" w:rsidP="00E410BD">
      <w:pPr>
        <w:spacing w:after="120"/>
        <w:jc w:val="both"/>
      </w:pPr>
      <w:r w:rsidRPr="00F51DB1">
        <w:t>Часто жители  поселений жалуются на отсутствие  квалифицированной медицинской помощи и отсутствие медикаментов.</w:t>
      </w:r>
    </w:p>
    <w:p w:rsidR="00E410BD" w:rsidRPr="00F51DB1" w:rsidRDefault="00E410BD" w:rsidP="00E410BD">
      <w:pPr>
        <w:spacing w:after="120"/>
        <w:jc w:val="both"/>
      </w:pPr>
      <w:r w:rsidRPr="00F51DB1">
        <w:t>Аптечных киосков нет  на территории поселения.</w:t>
      </w:r>
    </w:p>
    <w:p w:rsidR="00E410BD" w:rsidRPr="00F51DB1" w:rsidRDefault="00E410BD" w:rsidP="00E410BD">
      <w:pPr>
        <w:spacing w:after="120"/>
        <w:jc w:val="both"/>
      </w:pPr>
      <w:r w:rsidRPr="00F51DB1">
        <w:t xml:space="preserve">Для охвата   всего  населения качественными медицинскими услугами    необходимо привлечь медицинские кадры для работы на территории поселения,  обеспечить   жильём   новых  медицинских  работников (терапевта, </w:t>
      </w:r>
      <w:proofErr w:type="spellStart"/>
      <w:r w:rsidRPr="00F51DB1">
        <w:t>педиатора</w:t>
      </w:r>
      <w:proofErr w:type="spellEnd"/>
      <w:r w:rsidRPr="00F51DB1">
        <w:t xml:space="preserve">). </w:t>
      </w:r>
    </w:p>
    <w:p w:rsidR="00E410BD" w:rsidRPr="00F51DB1" w:rsidRDefault="00E410BD" w:rsidP="00E410BD">
      <w:pPr>
        <w:spacing w:after="120"/>
        <w:jc w:val="both"/>
      </w:pPr>
      <w:r w:rsidRPr="00F51DB1">
        <w:t xml:space="preserve">Средств  для  строительства, приобретения   жилья в  бюджете  МО  нет. </w:t>
      </w:r>
    </w:p>
    <w:p w:rsidR="00E410BD" w:rsidRPr="00A34C5B" w:rsidRDefault="00E410BD" w:rsidP="00E410BD">
      <w:pPr>
        <w:spacing w:after="120"/>
        <w:jc w:val="both"/>
        <w:rPr>
          <w:rFonts w:ascii="Calibri" w:eastAsia="Calibri" w:hAnsi="Calibri"/>
          <w:b/>
          <w:lang w:eastAsia="en-US"/>
        </w:rPr>
      </w:pPr>
      <w:r w:rsidRPr="00F51DB1">
        <w:t xml:space="preserve">Уровень  заболеваемости стабилен, тенденции к  росту  не  наблюдается. </w:t>
      </w:r>
    </w:p>
    <w:p w:rsidR="00E410BD" w:rsidRPr="00F51DB1" w:rsidRDefault="00E410BD" w:rsidP="00E410BD">
      <w:pPr>
        <w:suppressAutoHyphens/>
        <w:autoSpaceDN w:val="0"/>
        <w:rPr>
          <w:rFonts w:eastAsia="SimSun"/>
          <w:kern w:val="3"/>
          <w:lang w:eastAsia="zh-CN" w:bidi="hi-IN"/>
        </w:rPr>
      </w:pPr>
      <w:proofErr w:type="spellStart"/>
      <w:r w:rsidRPr="00F51DB1">
        <w:rPr>
          <w:rFonts w:eastAsia="SimSun"/>
          <w:kern w:val="3"/>
          <w:lang w:eastAsia="zh-CN" w:bidi="hi-IN"/>
        </w:rPr>
        <w:t>ольной</w:t>
      </w:r>
      <w:proofErr w:type="spellEnd"/>
      <w:r w:rsidRPr="00F51DB1">
        <w:rPr>
          <w:rFonts w:eastAsia="SimSun"/>
          <w:kern w:val="3"/>
          <w:lang w:eastAsia="zh-CN" w:bidi="hi-IN"/>
        </w:rPr>
        <w:t xml:space="preserve"> группе – около 17,0 </w:t>
      </w:r>
      <w:proofErr w:type="spellStart"/>
      <w:r w:rsidRPr="00F51DB1">
        <w:rPr>
          <w:rFonts w:eastAsia="SimSun"/>
          <w:kern w:val="3"/>
          <w:lang w:eastAsia="zh-CN" w:bidi="hi-IN"/>
        </w:rPr>
        <w:t>тыс.рублей</w:t>
      </w:r>
      <w:proofErr w:type="spellEnd"/>
      <w:r w:rsidRPr="00F51DB1">
        <w:rPr>
          <w:rFonts w:eastAsia="SimSun"/>
          <w:kern w:val="3"/>
          <w:lang w:eastAsia="zh-CN" w:bidi="hi-IN"/>
        </w:rPr>
        <w:t>.</w:t>
      </w:r>
    </w:p>
    <w:p w:rsidR="00E410BD" w:rsidRDefault="00E410BD" w:rsidP="00E410BD">
      <w:pPr>
        <w:spacing w:after="120"/>
        <w:jc w:val="center"/>
        <w:rPr>
          <w:b/>
        </w:rPr>
      </w:pPr>
    </w:p>
    <w:p w:rsidR="00E410BD" w:rsidRDefault="00E410BD" w:rsidP="00E410BD">
      <w:pPr>
        <w:spacing w:after="120"/>
        <w:jc w:val="center"/>
        <w:rPr>
          <w:b/>
        </w:rPr>
      </w:pPr>
      <w:r>
        <w:rPr>
          <w:b/>
        </w:rPr>
        <w:t>Культура, физкультура и спорт</w:t>
      </w:r>
    </w:p>
    <w:p w:rsidR="00E410BD" w:rsidRPr="00F51DB1" w:rsidRDefault="00E410BD" w:rsidP="00E410BD">
      <w:pPr>
        <w:spacing w:after="120"/>
        <w:jc w:val="both"/>
        <w:rPr>
          <w:rFonts w:eastAsia="Calibri"/>
          <w:lang w:eastAsia="en-US"/>
        </w:rPr>
      </w:pPr>
      <w:r w:rsidRPr="00F51DB1">
        <w:rPr>
          <w:rFonts w:eastAsia="Calibri"/>
          <w:lang w:eastAsia="en-US"/>
        </w:rPr>
        <w:t xml:space="preserve">За последние годы в сфере культуры поселения удалось сохранить сеть учреждений, поддержать на определенном уровне развитие художественного процесса. </w:t>
      </w:r>
      <w:r w:rsidRPr="00F51DB1">
        <w:rPr>
          <w:rFonts w:eastAsia="Calibri"/>
          <w:lang w:eastAsia="en-US"/>
        </w:rPr>
        <w:tab/>
        <w:t>В поселении работают 3 клубных учреждения (2 дома культуры и  1 клуб), централизованная библиотечная система с 3 филиалами. На территории поселения  работает свыше 40  клубных  образований  с общим количеством участников –  около 500  человек.  Уровень средней заработной платы по МКУК «</w:t>
      </w:r>
      <w:proofErr w:type="spellStart"/>
      <w:r w:rsidRPr="00F51DB1">
        <w:rPr>
          <w:rFonts w:eastAsia="Calibri"/>
          <w:lang w:eastAsia="en-US"/>
        </w:rPr>
        <w:t>Сурковский</w:t>
      </w:r>
      <w:proofErr w:type="spellEnd"/>
      <w:r w:rsidRPr="00F51DB1">
        <w:rPr>
          <w:rFonts w:eastAsia="Calibri"/>
          <w:lang w:eastAsia="en-US"/>
        </w:rPr>
        <w:t xml:space="preserve"> КДЦ» составляет около 30,0 </w:t>
      </w:r>
      <w:proofErr w:type="spellStart"/>
      <w:r w:rsidRPr="00F51DB1">
        <w:rPr>
          <w:rFonts w:eastAsia="Calibri"/>
          <w:lang w:eastAsia="en-US"/>
        </w:rPr>
        <w:t>тыс.рублей</w:t>
      </w:r>
      <w:proofErr w:type="spellEnd"/>
      <w:r w:rsidRPr="00F51DB1">
        <w:rPr>
          <w:rFonts w:eastAsia="Calibri"/>
          <w:lang w:eastAsia="en-US"/>
        </w:rPr>
        <w:t>.</w:t>
      </w:r>
    </w:p>
    <w:p w:rsidR="00E410BD" w:rsidRDefault="00E410BD" w:rsidP="00E410BD">
      <w:pPr>
        <w:spacing w:after="120"/>
        <w:jc w:val="both"/>
        <w:rPr>
          <w:rFonts w:eastAsia="Calibri"/>
          <w:lang w:eastAsia="en-US"/>
        </w:rPr>
      </w:pPr>
      <w:r w:rsidRPr="00F51DB1">
        <w:rPr>
          <w:rFonts w:eastAsia="Calibri"/>
          <w:lang w:eastAsia="en-US"/>
        </w:rPr>
        <w:t xml:space="preserve">Материальная  база  культурно-досугового центра стабильно развивается. </w:t>
      </w:r>
    </w:p>
    <w:p w:rsidR="00E410BD" w:rsidRDefault="00E410BD" w:rsidP="00E410BD">
      <w:pPr>
        <w:spacing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2018 год было введено в эксплуатацию 2 детские и 2 спортивные площадки в с. </w:t>
      </w:r>
      <w:proofErr w:type="spellStart"/>
      <w:r>
        <w:rPr>
          <w:rFonts w:eastAsia="Calibri"/>
          <w:lang w:eastAsia="en-US"/>
        </w:rPr>
        <w:t>Сурково</w:t>
      </w:r>
      <w:proofErr w:type="spellEnd"/>
      <w:r>
        <w:rPr>
          <w:rFonts w:eastAsia="Calibri"/>
          <w:lang w:eastAsia="en-US"/>
        </w:rPr>
        <w:t>, 1детская площадка в пос. Русско-Семёновский.</w:t>
      </w:r>
    </w:p>
    <w:p w:rsidR="00E410BD" w:rsidRDefault="00E410BD" w:rsidP="00E410BD">
      <w:pPr>
        <w:spacing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центре села  формируем  парк отдыха с детскими и спортивными площадками.</w:t>
      </w:r>
    </w:p>
    <w:p w:rsidR="00E410BD" w:rsidRPr="00F51DB1" w:rsidRDefault="00E410BD" w:rsidP="00E410BD">
      <w:pPr>
        <w:jc w:val="both"/>
      </w:pPr>
      <w:r w:rsidRPr="00F51DB1">
        <w:lastRenderedPageBreak/>
        <w:t>В 2018 году, как и всегда,  проводились  спортивно-массовые мероприятия. Среди них: спартакиады,  « Дни здоровья», « Дни туризма», соревнования спортивных семей и т.д. .Численность занимающихся в спортивных секциях составила более 100 человек. Поселение принимает активное участие в районных сельских, спортивных, зимних и летних играх.</w:t>
      </w:r>
    </w:p>
    <w:p w:rsidR="00E410BD" w:rsidRPr="00F51DB1" w:rsidRDefault="00E410BD" w:rsidP="00E410BD">
      <w:pPr>
        <w:spacing w:after="120"/>
        <w:jc w:val="both"/>
      </w:pPr>
      <w:r w:rsidRPr="00F51DB1">
        <w:tab/>
        <w:t xml:space="preserve">В поселении действует 2 спортивных зала при  школе  с. </w:t>
      </w:r>
      <w:proofErr w:type="spellStart"/>
      <w:r w:rsidRPr="00F51DB1">
        <w:t>Сурково</w:t>
      </w:r>
      <w:proofErr w:type="spellEnd"/>
      <w:r w:rsidRPr="00F51DB1">
        <w:t>, 2 спортивных площадки при  общеобразовательном учреждении, туристический  кружок.</w:t>
      </w:r>
    </w:p>
    <w:p w:rsidR="00E410BD" w:rsidRDefault="00E410BD" w:rsidP="00E410BD">
      <w:pPr>
        <w:spacing w:after="120"/>
        <w:jc w:val="center"/>
        <w:rPr>
          <w:b/>
        </w:rPr>
      </w:pPr>
      <w:r>
        <w:rPr>
          <w:b/>
        </w:rPr>
        <w:t>Социальная защита населения</w:t>
      </w:r>
    </w:p>
    <w:p w:rsidR="00E410BD" w:rsidRPr="00F51DB1" w:rsidRDefault="00E410BD" w:rsidP="00E410BD">
      <w:pPr>
        <w:jc w:val="both"/>
      </w:pPr>
      <w:r w:rsidRPr="00F51DB1">
        <w:t xml:space="preserve">   Численность населения, состоящего  в органах  социальной  защиты  по </w:t>
      </w:r>
      <w:proofErr w:type="spellStart"/>
      <w:r w:rsidRPr="00F51DB1">
        <w:t>Сурковскому</w:t>
      </w:r>
      <w:proofErr w:type="spellEnd"/>
      <w:r w:rsidRPr="00F51DB1">
        <w:t xml:space="preserve"> сельсовету составляет   290 человек</w:t>
      </w:r>
      <w:r>
        <w:t>, что на 8,2 % выше по сравнению с прошлым годом.</w:t>
      </w:r>
      <w:r w:rsidRPr="00F51DB1">
        <w:t xml:space="preserve"> :</w:t>
      </w:r>
    </w:p>
    <w:p w:rsidR="00E410BD" w:rsidRPr="00F51DB1" w:rsidRDefault="00E410BD" w:rsidP="00E410BD">
      <w:pPr>
        <w:jc w:val="both"/>
      </w:pPr>
      <w:r w:rsidRPr="00F51DB1">
        <w:t xml:space="preserve">в том числе: инвалиды—62 человек, дети-инвалиды—6, ветераны—128 человек, малоимущие граждане—94 человека, что  на  </w:t>
      </w:r>
      <w:r>
        <w:t>2</w:t>
      </w:r>
      <w:r w:rsidRPr="00F51DB1">
        <w:t>8</w:t>
      </w:r>
      <w:r>
        <w:t xml:space="preserve"> человек больше</w:t>
      </w:r>
      <w:r w:rsidRPr="00F51DB1">
        <w:t xml:space="preserve">     по  сравнению  с  прошлым  годом. Материальную  помощь  в 2018 году  органы  соцзащиты    оказали целевую: 2 семьи  получили  адресную помощь в размере 3,0 </w:t>
      </w:r>
      <w:proofErr w:type="spellStart"/>
      <w:r w:rsidRPr="00F51DB1">
        <w:t>тыс.рублей</w:t>
      </w:r>
      <w:proofErr w:type="spellEnd"/>
      <w:r w:rsidRPr="00F51DB1">
        <w:t>,</w:t>
      </w:r>
    </w:p>
    <w:p w:rsidR="00E410BD" w:rsidRPr="00F51DB1" w:rsidRDefault="00E410BD" w:rsidP="00E410BD">
      <w:pPr>
        <w:jc w:val="both"/>
      </w:pPr>
      <w:r w:rsidRPr="00F51DB1">
        <w:t xml:space="preserve">     Удельный вес населения, получающего меры социальной поддержки, к общей численности населения составляет 19 %, что на 3 % больше по сравнению с прошлым годом.</w:t>
      </w:r>
    </w:p>
    <w:p w:rsidR="00E410BD" w:rsidRDefault="00E410BD" w:rsidP="00E410BD">
      <w:pPr>
        <w:spacing w:after="120"/>
        <w:jc w:val="center"/>
        <w:rPr>
          <w:b/>
        </w:rPr>
      </w:pPr>
    </w:p>
    <w:p w:rsidR="00E410BD" w:rsidRDefault="00E410BD" w:rsidP="00E410BD">
      <w:pPr>
        <w:tabs>
          <w:tab w:val="left" w:pos="7350"/>
        </w:tabs>
        <w:suppressAutoHyphens/>
        <w:autoSpaceDN w:val="0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E410BD" w:rsidRDefault="00E410BD" w:rsidP="00E410BD">
      <w:pPr>
        <w:ind w:firstLine="340"/>
      </w:pPr>
    </w:p>
    <w:p w:rsidR="00E410BD" w:rsidRDefault="00E410BD" w:rsidP="00E410BD">
      <w:pPr>
        <w:jc w:val="both"/>
        <w:rPr>
          <w:b/>
          <w:i/>
        </w:rPr>
      </w:pPr>
    </w:p>
    <w:p w:rsidR="00E410BD" w:rsidRDefault="00E410BD" w:rsidP="00E410BD">
      <w:pPr>
        <w:jc w:val="center"/>
        <w:rPr>
          <w:b/>
          <w:i/>
        </w:rPr>
      </w:pPr>
      <w:r>
        <w:rPr>
          <w:b/>
        </w:rPr>
        <w:t>Анализ проблем  2018  г.</w:t>
      </w:r>
    </w:p>
    <w:p w:rsidR="00E410BD" w:rsidRDefault="00E410BD" w:rsidP="00E410BD">
      <w:pPr>
        <w:jc w:val="both"/>
      </w:pPr>
      <w:r>
        <w:t xml:space="preserve">        Наиболее проблемные направления  деятельности сельсовета – это содержание </w:t>
      </w:r>
      <w:proofErr w:type="spellStart"/>
      <w:r>
        <w:t>внутрипоселковых</w:t>
      </w:r>
      <w:proofErr w:type="spellEnd"/>
      <w:r>
        <w:t xml:space="preserve"> дорог и уличного освещения.</w:t>
      </w:r>
    </w:p>
    <w:p w:rsidR="00E410BD" w:rsidRDefault="00E410BD" w:rsidP="00E410BD">
      <w:pPr>
        <w:ind w:firstLine="709"/>
        <w:jc w:val="both"/>
        <w:rPr>
          <w:i/>
        </w:rPr>
      </w:pPr>
    </w:p>
    <w:p w:rsidR="00E410BD" w:rsidRDefault="00E410BD" w:rsidP="00E410BD">
      <w:pPr>
        <w:ind w:firstLine="709"/>
        <w:jc w:val="both"/>
        <w:rPr>
          <w:i/>
        </w:rPr>
      </w:pPr>
      <w:r>
        <w:rPr>
          <w:i/>
        </w:rPr>
        <w:t>Коммунальная сфера</w:t>
      </w:r>
    </w:p>
    <w:p w:rsidR="00E410BD" w:rsidRDefault="00E410BD" w:rsidP="00E410BD">
      <w:pPr>
        <w:ind w:firstLine="709"/>
        <w:jc w:val="both"/>
      </w:pPr>
      <w:r>
        <w:t>С 01.07.2017 года  проблемы водо-и теплоснабжения отнесены к полномочиям района.</w:t>
      </w:r>
    </w:p>
    <w:p w:rsidR="00E410BD" w:rsidRDefault="00E410BD" w:rsidP="00E410BD">
      <w:pPr>
        <w:ind w:firstLine="709"/>
        <w:jc w:val="both"/>
      </w:pPr>
      <w:proofErr w:type="spellStart"/>
      <w:r>
        <w:t>Муп</w:t>
      </w:r>
      <w:proofErr w:type="spellEnd"/>
      <w:r>
        <w:t xml:space="preserve"> </w:t>
      </w:r>
      <w:proofErr w:type="spellStart"/>
      <w:r>
        <w:t>Тогучинского</w:t>
      </w:r>
      <w:proofErr w:type="spellEnd"/>
      <w:r>
        <w:t xml:space="preserve"> района  «</w:t>
      </w:r>
      <w:proofErr w:type="spellStart"/>
      <w:r>
        <w:t>Сурковское</w:t>
      </w:r>
      <w:proofErr w:type="spellEnd"/>
      <w:r>
        <w:t xml:space="preserve">» обслуживает 5 водопроводных сетей общей протяженностью 24,4 км, теплотрассу – 0,762 км, котельную в с. </w:t>
      </w:r>
      <w:proofErr w:type="spellStart"/>
      <w:r>
        <w:t>Сурково</w:t>
      </w:r>
      <w:proofErr w:type="spellEnd"/>
      <w:r>
        <w:t xml:space="preserve"> и д. Долгово , 8 водонапорных башен и 8 скважин.</w:t>
      </w:r>
    </w:p>
    <w:p w:rsidR="00E410BD" w:rsidRDefault="00E410BD" w:rsidP="00E410BD">
      <w:pPr>
        <w:ind w:firstLine="709"/>
        <w:jc w:val="both"/>
      </w:pPr>
      <w:r>
        <w:t xml:space="preserve">За 2018 год был произведён монтаж уличного освещения по всем улицам  в с. </w:t>
      </w:r>
      <w:proofErr w:type="spellStart"/>
      <w:r>
        <w:t>Сурково</w:t>
      </w:r>
      <w:proofErr w:type="spellEnd"/>
      <w:r>
        <w:t xml:space="preserve">, д. Долгово, пос. Русско-Семёновский. Уличное освещение   имеется во всех населённых пунктах поселения, но часто  выходят из  строя  лампы  накаливания. Замена осуществляется по мере  поступления  собственных средств в бюджет поселения. </w:t>
      </w:r>
    </w:p>
    <w:p w:rsidR="00E410BD" w:rsidRDefault="00E410BD" w:rsidP="00E410BD">
      <w:pPr>
        <w:ind w:firstLine="709"/>
        <w:jc w:val="both"/>
      </w:pPr>
      <w:r>
        <w:t xml:space="preserve">Состояние   водопроводных сетей удовлетворительное, периодически выполняется текущий ремонт   на водопроводных сетях  силами  МУП </w:t>
      </w:r>
      <w:proofErr w:type="spellStart"/>
      <w:r>
        <w:t>Тогучинского</w:t>
      </w:r>
      <w:proofErr w:type="spellEnd"/>
      <w:r>
        <w:t xml:space="preserve"> района  «</w:t>
      </w:r>
      <w:proofErr w:type="spellStart"/>
      <w:r>
        <w:t>Сурковское</w:t>
      </w:r>
      <w:proofErr w:type="spellEnd"/>
      <w:r>
        <w:t xml:space="preserve">» , но с привлечением администрации Сурковского сельсовета. </w:t>
      </w:r>
    </w:p>
    <w:p w:rsidR="00E410BD" w:rsidRDefault="00E410BD" w:rsidP="00E410BD">
      <w:pPr>
        <w:jc w:val="both"/>
      </w:pPr>
      <w:r>
        <w:lastRenderedPageBreak/>
        <w:t xml:space="preserve">Предприятие ЖКХ  не имеет достаточных финансовых ресурсов для работы в стабильном эксплуатационном режиме, обычный результат убыточности. На предприятии ЖКХ  расходование  денежных средств  превышает их поступление, что отрицательно влияет на текущую хозяйственную деятельность и платежеспособность. </w:t>
      </w:r>
    </w:p>
    <w:p w:rsidR="00E410BD" w:rsidRDefault="00E410BD" w:rsidP="00E410BD">
      <w:pPr>
        <w:jc w:val="both"/>
      </w:pPr>
      <w:r>
        <w:t xml:space="preserve">Задолженность  населения  по  оплате  ЖКУ  образовалась   в  результате  того, что в  домах  проживает    социально  неблагополучные  семьи. В настоящее  время  сумма долга  составляет  около 1  млн. руб. Работы по возврату задолженности осуществляет  МУП </w:t>
      </w:r>
      <w:proofErr w:type="spellStart"/>
      <w:r>
        <w:t>Тогучинского</w:t>
      </w:r>
      <w:proofErr w:type="spellEnd"/>
      <w:r>
        <w:t xml:space="preserve"> района «</w:t>
      </w:r>
      <w:proofErr w:type="spellStart"/>
      <w:r>
        <w:t>Сурковское</w:t>
      </w:r>
      <w:proofErr w:type="spellEnd"/>
      <w:r>
        <w:t>».</w:t>
      </w:r>
    </w:p>
    <w:p w:rsidR="00E410BD" w:rsidRDefault="00E410BD" w:rsidP="00E410BD">
      <w:pPr>
        <w:jc w:val="both"/>
      </w:pPr>
    </w:p>
    <w:p w:rsidR="00E410BD" w:rsidRDefault="00E410BD" w:rsidP="00E410BD">
      <w:pPr>
        <w:ind w:firstLine="709"/>
        <w:jc w:val="both"/>
        <w:rPr>
          <w:i/>
        </w:rPr>
      </w:pPr>
      <w:r>
        <w:rPr>
          <w:i/>
        </w:rPr>
        <w:t>Дороги.</w:t>
      </w:r>
    </w:p>
    <w:p w:rsidR="00E410BD" w:rsidRDefault="00E410BD" w:rsidP="00E410BD">
      <w:pPr>
        <w:ind w:firstLine="709"/>
        <w:jc w:val="both"/>
      </w:pPr>
      <w:r>
        <w:t xml:space="preserve">Протяженность </w:t>
      </w:r>
      <w:proofErr w:type="spellStart"/>
      <w:r>
        <w:t>внутрипоселковых</w:t>
      </w:r>
      <w:proofErr w:type="spellEnd"/>
      <w:r>
        <w:t xml:space="preserve"> автодорог на 01.01.2018 года составляет 44,9 км, оформлено дорог в собственность около 20 км. Процедура оформления дорог в собственность продолжается.</w:t>
      </w:r>
    </w:p>
    <w:p w:rsidR="00E410BD" w:rsidRDefault="00E410BD" w:rsidP="00E410BD">
      <w:pPr>
        <w:ind w:firstLine="709"/>
        <w:jc w:val="both"/>
      </w:pPr>
      <w:r>
        <w:t xml:space="preserve"> Ежегодно производится  ремонт  дорог за счёт средств областного бюджета и Дорожного фонда. </w:t>
      </w:r>
    </w:p>
    <w:p w:rsidR="00E410BD" w:rsidRDefault="00E410BD" w:rsidP="00E410BD">
      <w:pPr>
        <w:pStyle w:val="---"/>
        <w:numPr>
          <w:ilvl w:val="0"/>
          <w:numId w:val="0"/>
        </w:numPr>
        <w:tabs>
          <w:tab w:val="left" w:pos="708"/>
        </w:tabs>
        <w:jc w:val="both"/>
        <w:rPr>
          <w:sz w:val="28"/>
        </w:rPr>
      </w:pPr>
      <w:r>
        <w:rPr>
          <w:sz w:val="28"/>
        </w:rPr>
        <w:tab/>
        <w:t xml:space="preserve">            </w:t>
      </w:r>
    </w:p>
    <w:p w:rsidR="00E410BD" w:rsidRDefault="00E410BD" w:rsidP="00E410BD">
      <w:pPr>
        <w:ind w:firstLine="709"/>
        <w:jc w:val="both"/>
        <w:rPr>
          <w:i/>
        </w:rPr>
      </w:pPr>
      <w:r>
        <w:rPr>
          <w:i/>
        </w:rPr>
        <w:t>Перспективы развития</w:t>
      </w:r>
    </w:p>
    <w:p w:rsidR="00E410BD" w:rsidRDefault="00E410BD" w:rsidP="00E410BD">
      <w:pPr>
        <w:ind w:firstLine="340"/>
        <w:jc w:val="both"/>
      </w:pPr>
      <w:r>
        <w:t>На территории сельсовета имеются обширные сельскохозяйственные площади, что позволяет заниматься растениеводством и животноводством, а именно, производство зерновых, молока и мяса.</w:t>
      </w:r>
    </w:p>
    <w:p w:rsidR="00E410BD" w:rsidRDefault="00E410BD" w:rsidP="00E410BD">
      <w:pPr>
        <w:ind w:firstLine="340"/>
        <w:jc w:val="both"/>
      </w:pPr>
      <w:r>
        <w:t>Кроме того, есть все условия для строительства объектов для производства цемента и строительных  материалов – запасы известняка, земельные участки для строительства.</w:t>
      </w:r>
    </w:p>
    <w:p w:rsidR="00E410BD" w:rsidRDefault="00E410BD" w:rsidP="00E410BD">
      <w:pPr>
        <w:ind w:firstLine="340"/>
        <w:jc w:val="both"/>
      </w:pPr>
      <w:r>
        <w:t xml:space="preserve">Кроме того, объединение  </w:t>
      </w:r>
      <w:proofErr w:type="spellStart"/>
      <w:r>
        <w:t>Долговской</w:t>
      </w:r>
      <w:proofErr w:type="spellEnd"/>
      <w:r>
        <w:t xml:space="preserve"> СШ с </w:t>
      </w:r>
      <w:proofErr w:type="spellStart"/>
      <w:r>
        <w:t>Сурковской</w:t>
      </w:r>
      <w:proofErr w:type="spellEnd"/>
      <w:r>
        <w:t xml:space="preserve"> СШ  высвободило основные фонды, находящиеся в удовлетворительном состоянии- это здание самой школы. Имеется кочегарка. В силу того, что  население района, имеет  тенденцию старения, это здание  может  перспективно использоваться  здравоохранением(например,  как пансионат для  престарелых и одиноких лиц) . Природа  там  замечательная. однако, есть трудности в разрешении данного вопроса, надеемся, что в 2019 году  данный вопрос разрешится.</w:t>
      </w:r>
    </w:p>
    <w:p w:rsidR="00E410BD" w:rsidRDefault="00E410BD" w:rsidP="00E410BD">
      <w:pPr>
        <w:ind w:firstLine="340"/>
      </w:pPr>
    </w:p>
    <w:p w:rsidR="00E410BD" w:rsidRDefault="00E410BD" w:rsidP="00E410BD">
      <w:pPr>
        <w:ind w:firstLine="340"/>
      </w:pPr>
      <w:r>
        <w:t>Богатая природа поселения позволяет развивать зоны отдыха и туризма, но  инвесторов нет.</w:t>
      </w:r>
    </w:p>
    <w:tbl>
      <w:tblPr>
        <w:tblpPr w:leftFromText="180" w:rightFromText="180" w:bottomFromText="160" w:vertAnchor="page" w:horzAnchor="margin" w:tblpY="2289"/>
        <w:tblW w:w="516" w:type="dxa"/>
        <w:tblLook w:val="04A0" w:firstRow="1" w:lastRow="0" w:firstColumn="1" w:lastColumn="0" w:noHBand="0" w:noVBand="1"/>
      </w:tblPr>
      <w:tblGrid>
        <w:gridCol w:w="259"/>
        <w:gridCol w:w="257"/>
      </w:tblGrid>
      <w:tr w:rsidR="00E410BD" w:rsidTr="00B054B0">
        <w:trPr>
          <w:trHeight w:val="279"/>
        </w:trPr>
        <w:tc>
          <w:tcPr>
            <w:tcW w:w="259" w:type="dxa"/>
            <w:noWrap/>
            <w:vAlign w:val="bottom"/>
          </w:tcPr>
          <w:p w:rsidR="00E410BD" w:rsidRDefault="00E410BD" w:rsidP="00B054B0">
            <w:pPr>
              <w:rPr>
                <w:sz w:val="16"/>
                <w:szCs w:val="16"/>
              </w:rPr>
            </w:pPr>
          </w:p>
        </w:tc>
        <w:tc>
          <w:tcPr>
            <w:tcW w:w="257" w:type="dxa"/>
            <w:noWrap/>
            <w:vAlign w:val="bottom"/>
          </w:tcPr>
          <w:p w:rsidR="00E410BD" w:rsidRDefault="00E410BD" w:rsidP="00B054B0">
            <w:pPr>
              <w:rPr>
                <w:sz w:val="16"/>
                <w:szCs w:val="16"/>
              </w:rPr>
            </w:pPr>
          </w:p>
        </w:tc>
      </w:tr>
      <w:tr w:rsidR="00E410BD" w:rsidTr="00B054B0">
        <w:trPr>
          <w:trHeight w:val="279"/>
        </w:trPr>
        <w:tc>
          <w:tcPr>
            <w:tcW w:w="516" w:type="dxa"/>
            <w:gridSpan w:val="2"/>
            <w:noWrap/>
            <w:vAlign w:val="bottom"/>
          </w:tcPr>
          <w:p w:rsidR="00E410BD" w:rsidRDefault="00E410BD" w:rsidP="00B054B0">
            <w:pPr>
              <w:rPr>
                <w:sz w:val="16"/>
                <w:szCs w:val="16"/>
              </w:rPr>
            </w:pPr>
          </w:p>
        </w:tc>
      </w:tr>
      <w:tr w:rsidR="00E410BD" w:rsidTr="00B054B0">
        <w:trPr>
          <w:trHeight w:val="279"/>
        </w:trPr>
        <w:tc>
          <w:tcPr>
            <w:tcW w:w="516" w:type="dxa"/>
            <w:gridSpan w:val="2"/>
            <w:noWrap/>
            <w:vAlign w:val="bottom"/>
          </w:tcPr>
          <w:p w:rsidR="00E410BD" w:rsidRDefault="00E410BD" w:rsidP="00B054B0">
            <w:pPr>
              <w:rPr>
                <w:sz w:val="16"/>
                <w:szCs w:val="16"/>
              </w:rPr>
            </w:pPr>
          </w:p>
        </w:tc>
      </w:tr>
      <w:tr w:rsidR="00E410BD" w:rsidTr="00B054B0">
        <w:trPr>
          <w:trHeight w:val="279"/>
        </w:trPr>
        <w:tc>
          <w:tcPr>
            <w:tcW w:w="259" w:type="dxa"/>
            <w:noWrap/>
            <w:vAlign w:val="bottom"/>
          </w:tcPr>
          <w:p w:rsidR="00E410BD" w:rsidRDefault="00E410BD" w:rsidP="00B054B0">
            <w:pPr>
              <w:rPr>
                <w:sz w:val="16"/>
                <w:szCs w:val="16"/>
              </w:rPr>
            </w:pPr>
          </w:p>
        </w:tc>
        <w:tc>
          <w:tcPr>
            <w:tcW w:w="257" w:type="dxa"/>
            <w:noWrap/>
            <w:vAlign w:val="bottom"/>
          </w:tcPr>
          <w:p w:rsidR="00E410BD" w:rsidRDefault="00E410BD" w:rsidP="00B054B0">
            <w:pPr>
              <w:rPr>
                <w:sz w:val="16"/>
                <w:szCs w:val="16"/>
              </w:rPr>
            </w:pPr>
          </w:p>
        </w:tc>
      </w:tr>
      <w:tr w:rsidR="00E410BD" w:rsidTr="00B054B0">
        <w:trPr>
          <w:trHeight w:val="279"/>
        </w:trPr>
        <w:tc>
          <w:tcPr>
            <w:tcW w:w="516" w:type="dxa"/>
            <w:gridSpan w:val="2"/>
            <w:noWrap/>
            <w:vAlign w:val="bottom"/>
          </w:tcPr>
          <w:p w:rsidR="00E410BD" w:rsidRDefault="00E410BD" w:rsidP="00B054B0">
            <w:pPr>
              <w:rPr>
                <w:sz w:val="16"/>
                <w:szCs w:val="16"/>
              </w:rPr>
            </w:pPr>
          </w:p>
        </w:tc>
      </w:tr>
      <w:tr w:rsidR="00E410BD" w:rsidTr="00B054B0">
        <w:trPr>
          <w:trHeight w:val="279"/>
        </w:trPr>
        <w:tc>
          <w:tcPr>
            <w:tcW w:w="516" w:type="dxa"/>
            <w:gridSpan w:val="2"/>
            <w:noWrap/>
            <w:vAlign w:val="bottom"/>
          </w:tcPr>
          <w:p w:rsidR="00E410BD" w:rsidRDefault="00E410BD" w:rsidP="00B054B0">
            <w:pPr>
              <w:rPr>
                <w:sz w:val="16"/>
                <w:szCs w:val="16"/>
              </w:rPr>
            </w:pPr>
          </w:p>
        </w:tc>
      </w:tr>
    </w:tbl>
    <w:p w:rsidR="00E410BD" w:rsidRDefault="00E410BD" w:rsidP="00E410BD">
      <w:pPr>
        <w:suppressAutoHyphens/>
        <w:autoSpaceDN w:val="0"/>
        <w:jc w:val="both"/>
        <w:rPr>
          <w:color w:val="1E1E1E"/>
        </w:rPr>
      </w:pPr>
      <w:r>
        <w:rPr>
          <w:color w:val="1E1E1E"/>
        </w:rPr>
        <w:t xml:space="preserve">       Бюджет поселения формируется за счёт налоговых и неналоговых поступлений, и, конечно дотаций и субвенций.             </w:t>
      </w:r>
    </w:p>
    <w:p w:rsidR="00E410BD" w:rsidRPr="00F51DB1" w:rsidRDefault="00E410BD" w:rsidP="00E410BD">
      <w:pPr>
        <w:suppressAutoHyphens/>
        <w:autoSpaceDN w:val="0"/>
        <w:jc w:val="both"/>
        <w:rPr>
          <w:color w:val="1E1E1E"/>
        </w:rPr>
      </w:pPr>
      <w:r>
        <w:rPr>
          <w:color w:val="1E1E1E"/>
        </w:rPr>
        <w:t xml:space="preserve">             </w:t>
      </w:r>
      <w:r w:rsidRPr="00F51DB1">
        <w:rPr>
          <w:color w:val="1E1E1E"/>
        </w:rPr>
        <w:t>Наибольшая доля поступлений в общей сумме налоговых доходов поселения приходится на налог на доходы физических лиц и земельный налог. По мере повышения заработной платы на предприятиях, а также в бюджетной сфере наполняемость бюджета доходами в виде налога на доходы физических лиц будет расти.</w:t>
      </w:r>
    </w:p>
    <w:p w:rsidR="00E410BD" w:rsidRPr="00F51DB1" w:rsidRDefault="00E410BD" w:rsidP="00E410BD">
      <w:pPr>
        <w:suppressAutoHyphens/>
        <w:autoSpaceDN w:val="0"/>
        <w:jc w:val="both"/>
        <w:rPr>
          <w:color w:val="1E1E1E"/>
        </w:rPr>
      </w:pPr>
      <w:r>
        <w:rPr>
          <w:color w:val="1E1E1E"/>
        </w:rPr>
        <w:t xml:space="preserve">            </w:t>
      </w:r>
      <w:r w:rsidRPr="00F51DB1">
        <w:rPr>
          <w:color w:val="1E1E1E"/>
        </w:rPr>
        <w:t>Бюджет администрации Сурковского сельсовета является высокодотационным, в связи с чем  на решение вопросов местного значения рассчитывается  о</w:t>
      </w:r>
      <w:r w:rsidRPr="00DE549E">
        <w:t xml:space="preserve">бъем дотаций на выравнивание </w:t>
      </w:r>
      <w:r w:rsidRPr="00DE549E">
        <w:lastRenderedPageBreak/>
        <w:t>бюджетной обеспеченности поселения.</w:t>
      </w:r>
      <w:r w:rsidRPr="00DE549E">
        <w:rPr>
          <w:rFonts w:ascii="Calibri Light" w:hAnsi="Calibri Light"/>
          <w:b/>
          <w:bCs/>
          <w:color w:val="2E74B5"/>
        </w:rPr>
        <w:t xml:space="preserve"> </w:t>
      </w:r>
      <w:r w:rsidRPr="00DE549E">
        <w:t>Размер дотации на выравнивание бюджетной обеспеченности Сурковского сельсовета  определяется исходя из численности жителей поселения в расчете на одного жителя. Следует отметить, что для  расчёта размера дотации  используется  статистический показатель численности поселения, полученный расчётным путём  на основании данных переписи населения 2010 года  с учётом миграции населения (а это 1119 человек), а не на основании данных муниципального образования о численности населения, которые ежегодно подаются в  органы статистики  (1597 человек в 2017 году, например). Существующая разница   в определении численности населения, используемой для расчёта дотации, уменьшает бюджет поселения  на сумму около полумиллиона рублей.</w:t>
      </w:r>
    </w:p>
    <w:p w:rsidR="00E410BD" w:rsidRDefault="00E410BD" w:rsidP="00E410BD">
      <w:pPr>
        <w:ind w:firstLine="340"/>
      </w:pPr>
    </w:p>
    <w:p w:rsidR="00E410BD" w:rsidRDefault="00E410BD" w:rsidP="00E410BD">
      <w:pPr>
        <w:ind w:firstLine="340"/>
      </w:pPr>
    </w:p>
    <w:p w:rsidR="00E410BD" w:rsidRPr="00A20FC5" w:rsidRDefault="00E410BD" w:rsidP="00E410BD">
      <w:pPr>
        <w:ind w:firstLine="709"/>
        <w:rPr>
          <w:b/>
        </w:rPr>
      </w:pPr>
      <w:r w:rsidRPr="00A20FC5">
        <w:rPr>
          <w:b/>
        </w:rPr>
        <w:t xml:space="preserve">                                   Заключение</w:t>
      </w:r>
    </w:p>
    <w:p w:rsidR="00E410BD" w:rsidRPr="00A20FC5" w:rsidRDefault="00E410BD" w:rsidP="00E410BD">
      <w:pPr>
        <w:ind w:firstLine="709"/>
        <w:jc w:val="both"/>
      </w:pPr>
      <w:r w:rsidRPr="00A20FC5">
        <w:t xml:space="preserve">За отчетный период </w:t>
      </w:r>
      <w:r>
        <w:t xml:space="preserve">своей деятельности в качестве Главы Сурковского сельсовета </w:t>
      </w:r>
      <w:r w:rsidRPr="00A20FC5">
        <w:t>администрацией  Сурковского  сельсовета:</w:t>
      </w:r>
    </w:p>
    <w:p w:rsidR="00E410BD" w:rsidRPr="00A20FC5" w:rsidRDefault="00E410BD" w:rsidP="00E410B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A20FC5">
        <w:t xml:space="preserve">Издано распоряжений по основной деятельности – </w:t>
      </w:r>
      <w:r>
        <w:t>104</w:t>
      </w:r>
    </w:p>
    <w:p w:rsidR="00E410BD" w:rsidRPr="00A20FC5" w:rsidRDefault="00E410BD" w:rsidP="00E410B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A20FC5">
        <w:t xml:space="preserve">Принято постановлений – </w:t>
      </w:r>
      <w:r>
        <w:t>63</w:t>
      </w:r>
    </w:p>
    <w:p w:rsidR="00E410BD" w:rsidRPr="00A20FC5" w:rsidRDefault="00E410BD" w:rsidP="00E410B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A20FC5">
        <w:t xml:space="preserve">Зарегистрировано входящей документации – </w:t>
      </w:r>
      <w:r>
        <w:t>289 единиц и  получено корреспонденции по эл. почте 7849 ед.</w:t>
      </w:r>
    </w:p>
    <w:p w:rsidR="00E410BD" w:rsidRDefault="00E410BD" w:rsidP="00E410B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A20FC5">
        <w:t xml:space="preserve">Зарегистрировано исходящей документации – </w:t>
      </w:r>
      <w:r>
        <w:t>246 единиц и направлено ответов по эл. почте  163 ед.</w:t>
      </w:r>
    </w:p>
    <w:p w:rsidR="00E410BD" w:rsidRPr="00A20FC5" w:rsidRDefault="00E410BD" w:rsidP="00E410B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A20FC5">
        <w:t>Выдано справок населению –</w:t>
      </w:r>
      <w:r>
        <w:t>219 ед.</w:t>
      </w:r>
    </w:p>
    <w:p w:rsidR="00E410BD" w:rsidRPr="00A20FC5" w:rsidRDefault="00E410BD" w:rsidP="00E410B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A20FC5">
        <w:t xml:space="preserve">Поступило обращений граждан – </w:t>
      </w:r>
      <w:r>
        <w:t>35</w:t>
      </w:r>
      <w:r w:rsidRPr="00A20FC5">
        <w:t xml:space="preserve">, в том числе </w:t>
      </w:r>
      <w:r>
        <w:t xml:space="preserve">24 </w:t>
      </w:r>
      <w:r w:rsidRPr="00A20FC5">
        <w:t>зарегистрировано в МАИС</w:t>
      </w:r>
    </w:p>
    <w:p w:rsidR="00E410BD" w:rsidRPr="00A20FC5" w:rsidRDefault="00E410BD" w:rsidP="00E410B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A20FC5">
        <w:t xml:space="preserve">Проведено </w:t>
      </w:r>
      <w:r>
        <w:t xml:space="preserve">1 </w:t>
      </w:r>
      <w:r w:rsidRPr="00A20FC5">
        <w:t>заседани</w:t>
      </w:r>
      <w:r>
        <w:t>е</w:t>
      </w:r>
      <w:r w:rsidRPr="00A20FC5">
        <w:t xml:space="preserve"> административной комиссии</w:t>
      </w:r>
    </w:p>
    <w:p w:rsidR="00E410BD" w:rsidRPr="00A20FC5" w:rsidRDefault="00E410BD" w:rsidP="00E410BD">
      <w:pPr>
        <w:ind w:firstLine="709"/>
        <w:jc w:val="both"/>
      </w:pPr>
      <w:r w:rsidRPr="00A20FC5">
        <w:t xml:space="preserve">- поступило протоколов – </w:t>
      </w:r>
      <w:r>
        <w:t>1</w:t>
      </w:r>
    </w:p>
    <w:p w:rsidR="00E410BD" w:rsidRPr="00A20FC5" w:rsidRDefault="00E410BD" w:rsidP="00E410BD">
      <w:pPr>
        <w:ind w:firstLine="709"/>
        <w:jc w:val="both"/>
      </w:pPr>
      <w:r w:rsidRPr="00A20FC5">
        <w:t xml:space="preserve">- вынесено постановлений о назначении </w:t>
      </w:r>
      <w:proofErr w:type="spellStart"/>
      <w:r w:rsidRPr="00A20FC5">
        <w:t>адм.наказания</w:t>
      </w:r>
      <w:proofErr w:type="spellEnd"/>
      <w:r w:rsidRPr="00A20FC5">
        <w:t xml:space="preserve"> – </w:t>
      </w:r>
      <w:r>
        <w:t>1</w:t>
      </w:r>
    </w:p>
    <w:p w:rsidR="00E410BD" w:rsidRPr="00A20FC5" w:rsidRDefault="00E410BD" w:rsidP="00E410BD">
      <w:pPr>
        <w:ind w:firstLine="709"/>
        <w:jc w:val="both"/>
      </w:pPr>
      <w:r w:rsidRPr="00A20FC5">
        <w:t xml:space="preserve">- направлено материалов на исполнение судебным приставам – </w:t>
      </w:r>
      <w:r>
        <w:t>0</w:t>
      </w:r>
    </w:p>
    <w:p w:rsidR="00E410BD" w:rsidRPr="00A20FC5" w:rsidRDefault="00E410BD" w:rsidP="00E410BD">
      <w:pPr>
        <w:numPr>
          <w:ilvl w:val="0"/>
          <w:numId w:val="4"/>
        </w:numPr>
        <w:spacing w:after="0" w:line="240" w:lineRule="auto"/>
        <w:ind w:left="0" w:firstLine="709"/>
        <w:jc w:val="both"/>
      </w:pPr>
      <w:r w:rsidRPr="00A20FC5">
        <w:t xml:space="preserve">Проведено </w:t>
      </w:r>
      <w:r>
        <w:t>10</w:t>
      </w:r>
      <w:r w:rsidRPr="00A20FC5">
        <w:t xml:space="preserve"> сесси</w:t>
      </w:r>
      <w:r>
        <w:t>и</w:t>
      </w:r>
      <w:r w:rsidRPr="00A20FC5">
        <w:t xml:space="preserve"> Совета депутатов Сурковского сельсовета, рассмотрен</w:t>
      </w:r>
      <w:r>
        <w:t>о 38</w:t>
      </w:r>
      <w:r w:rsidRPr="00A20FC5">
        <w:t xml:space="preserve">   вопрос</w:t>
      </w:r>
      <w:r>
        <w:t>ов</w:t>
      </w:r>
    </w:p>
    <w:p w:rsidR="00E410BD" w:rsidRPr="00A20FC5" w:rsidRDefault="00E410BD" w:rsidP="00E410BD">
      <w:pPr>
        <w:numPr>
          <w:ilvl w:val="0"/>
          <w:numId w:val="4"/>
        </w:numPr>
        <w:spacing w:after="0" w:line="240" w:lineRule="auto"/>
        <w:ind w:left="0" w:firstLine="709"/>
        <w:jc w:val="both"/>
      </w:pPr>
      <w:r w:rsidRPr="00A20FC5">
        <w:t>Проведено публичных слушаний –</w:t>
      </w:r>
      <w:r>
        <w:t>2</w:t>
      </w:r>
    </w:p>
    <w:p w:rsidR="00E410BD" w:rsidRPr="00A20FC5" w:rsidRDefault="00E410BD" w:rsidP="00E410BD">
      <w:pPr>
        <w:numPr>
          <w:ilvl w:val="0"/>
          <w:numId w:val="4"/>
        </w:numPr>
        <w:spacing w:after="0" w:line="240" w:lineRule="auto"/>
        <w:ind w:left="0" w:firstLine="709"/>
        <w:jc w:val="both"/>
      </w:pPr>
      <w:r w:rsidRPr="00A20FC5">
        <w:t xml:space="preserve">Проведено собраний граждан – </w:t>
      </w:r>
      <w:r>
        <w:t>20</w:t>
      </w:r>
      <w:r w:rsidRPr="00A20FC5">
        <w:t xml:space="preserve">  </w:t>
      </w:r>
    </w:p>
    <w:p w:rsidR="00E410BD" w:rsidRDefault="00E410BD" w:rsidP="00E410BD">
      <w:pPr>
        <w:numPr>
          <w:ilvl w:val="0"/>
          <w:numId w:val="4"/>
        </w:numPr>
        <w:spacing w:after="0" w:line="240" w:lineRule="auto"/>
        <w:ind w:left="0" w:firstLine="709"/>
        <w:jc w:val="both"/>
      </w:pPr>
      <w:r w:rsidRPr="00A20FC5">
        <w:t xml:space="preserve">Проведено  </w:t>
      </w:r>
      <w:r>
        <w:t>1</w:t>
      </w:r>
      <w:r w:rsidRPr="00A20FC5">
        <w:t xml:space="preserve"> заседани</w:t>
      </w:r>
      <w:r>
        <w:t>е</w:t>
      </w:r>
      <w:r w:rsidRPr="00A20FC5">
        <w:t xml:space="preserve">  жилищной комиссии. Рассмотрен</w:t>
      </w:r>
      <w:r>
        <w:t>о  7</w:t>
      </w:r>
      <w:r w:rsidRPr="00A20FC5">
        <w:t xml:space="preserve"> пакет</w:t>
      </w:r>
      <w:r>
        <w:t>ов</w:t>
      </w:r>
      <w:r w:rsidRPr="00A20FC5">
        <w:t xml:space="preserve"> документов о снятии с  учёта в качестве  нуждающихся в улучшении   жилищных условий  и п</w:t>
      </w:r>
      <w:r>
        <w:t>редоставлении социального жилья.</w:t>
      </w:r>
      <w:r w:rsidRPr="00A20FC5">
        <w:t xml:space="preserve"> </w:t>
      </w:r>
    </w:p>
    <w:p w:rsidR="00E410BD" w:rsidRDefault="00E410BD" w:rsidP="00E410BD">
      <w:pPr>
        <w:ind w:left="709"/>
        <w:jc w:val="both"/>
      </w:pPr>
    </w:p>
    <w:p w:rsidR="00E410BD" w:rsidRDefault="00E410BD" w:rsidP="00E410BD">
      <w:pPr>
        <w:ind w:left="709"/>
        <w:jc w:val="both"/>
      </w:pPr>
      <w:r w:rsidRPr="00A20FC5">
        <w:t>В заключении хотелось бы сказать, что работа администрации Сурковского  сельсовета направлена на решение вопросов социально-экономического развития, на благоустройство населенных пунктов, на улучшение качества предоставления услуг населению МО.</w:t>
      </w:r>
    </w:p>
    <w:p w:rsidR="00E410BD" w:rsidRPr="00FC26EA" w:rsidRDefault="00E410BD" w:rsidP="00E410BD"/>
    <w:p w:rsidR="00E410BD" w:rsidRDefault="00E410BD" w:rsidP="00E410BD">
      <w:pPr>
        <w:ind w:left="-851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10BD" w:rsidRDefault="00E410BD" w:rsidP="00E410BD">
      <w:pPr>
        <w:ind w:left="-851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10BD" w:rsidRDefault="00E410BD" w:rsidP="00E410BD">
      <w:pPr>
        <w:ind w:left="-851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10BD" w:rsidRDefault="00E410BD" w:rsidP="00E410BD">
      <w:pPr>
        <w:ind w:left="-851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10BD" w:rsidRDefault="00E410BD" w:rsidP="00E410BD">
      <w:pPr>
        <w:ind w:left="-851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10BD" w:rsidRDefault="00E410BD" w:rsidP="00E410BD">
      <w:pPr>
        <w:ind w:left="-851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10BD" w:rsidRDefault="00E410BD" w:rsidP="00E410BD">
      <w:pPr>
        <w:ind w:left="-851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10BD" w:rsidRDefault="00E410BD" w:rsidP="00E410BD">
      <w:pPr>
        <w:ind w:left="-851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10BD" w:rsidRDefault="00E410BD" w:rsidP="00E410BD">
      <w:pPr>
        <w:ind w:left="-851"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10BD" w:rsidRPr="00E410BD" w:rsidRDefault="00E410BD" w:rsidP="00E410BD">
      <w:pPr>
        <w:ind w:left="-851" w:right="-1"/>
        <w:jc w:val="both"/>
        <w:rPr>
          <w:rFonts w:ascii="Calibri" w:eastAsia="Calibri" w:hAnsi="Calibri" w:cs="Times New Roman"/>
          <w:lang w:eastAsia="en-US"/>
        </w:rPr>
      </w:pPr>
    </w:p>
    <w:p w:rsidR="00E410BD" w:rsidRPr="00E410BD" w:rsidRDefault="00E410BD" w:rsidP="00E410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5728" w:rsidRDefault="00AF5728"/>
    <w:sectPr w:rsidR="00AF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350C9"/>
    <w:multiLevelType w:val="hybridMultilevel"/>
    <w:tmpl w:val="9914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4BA683E"/>
    <w:multiLevelType w:val="hybridMultilevel"/>
    <w:tmpl w:val="CFDE1D6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62B36"/>
    <w:multiLevelType w:val="hybridMultilevel"/>
    <w:tmpl w:val="FF921C7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2C"/>
    <w:rsid w:val="00015B2C"/>
    <w:rsid w:val="00430C09"/>
    <w:rsid w:val="004603CE"/>
    <w:rsid w:val="00583C6A"/>
    <w:rsid w:val="00AF5728"/>
    <w:rsid w:val="00E410BD"/>
    <w:rsid w:val="00F1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87739-9BF4-417D-B8CC-507E1363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3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1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--">
    <w:name w:val="---"/>
    <w:basedOn w:val="a"/>
    <w:rsid w:val="00E410B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C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11</cp:revision>
  <cp:lastPrinted>2019-05-20T04:33:00Z</cp:lastPrinted>
  <dcterms:created xsi:type="dcterms:W3CDTF">2019-03-29T05:31:00Z</dcterms:created>
  <dcterms:modified xsi:type="dcterms:W3CDTF">2019-06-05T01:16:00Z</dcterms:modified>
</cp:coreProperties>
</file>